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242"/>
        <w:rPr>
          <w:color w:val="000000"/>
          <w:highlight w:val="none"/>
        </w:rPr>
      </w:pPr>
      <w:r>
        <w:rPr>
          <w:color w:val="000000"/>
          <w:highlight w:val="none"/>
        </w:rPr>
      </w:r>
      <w:r/>
    </w:p>
    <w:p>
      <w:pPr>
        <w:pStyle w:val="1243"/>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44"/>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42"/>
        <w:rPr>
          <w:color w:val="000000"/>
          <w:highlight w:val="none"/>
        </w:rPr>
      </w:pPr>
      <w:r>
        <w:rPr>
          <w:color w:val="000000"/>
          <w:highlight w:val="none"/>
        </w:rPr>
      </w:r>
      <w:r/>
    </w:p>
    <w:p>
      <w:pPr>
        <w:pStyle w:val="1244"/>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4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无锡市锡山区教育考试标准化考点建设项目</w:t>
      </w:r>
      <w:r/>
    </w:p>
    <w:p>
      <w:pPr>
        <w:ind w:firstLine="537"/>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JSZC-320205-JZCG-G2026-0047</w:t>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无锡市锡山区教育局</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ascii="宋体" w:hAnsi="宋体"/>
          <w:b/>
          <w:color w:val="000000"/>
          <w:sz w:val="40"/>
          <w:szCs w:val="40"/>
          <w:highlight w:val="none"/>
        </w:rPr>
        <w:t xml:space="preserve">九</w:t>
      </w:r>
      <w:r>
        <w:rPr>
          <w:rFonts w:ascii="宋体" w:hAnsi="宋体"/>
          <w:b/>
          <w:color w:val="000000"/>
          <w:sz w:val="40"/>
          <w:szCs w:val="40"/>
          <w:highlight w:val="none"/>
        </w:rPr>
        <w:t xml:space="preserve">月</w:t>
      </w:r>
      <w:r>
        <w:rPr>
          <w:rFonts w:hint="eastAsia" w:ascii="宋体" w:hAnsi="宋体"/>
          <w:b/>
          <w:color w:val="000000"/>
          <w:sz w:val="40"/>
          <w:szCs w:val="40"/>
          <w:highlight w:val="none"/>
        </w:rPr>
        <w:t xml:space="preserve">八</w:t>
      </w:r>
      <w:r>
        <w:rPr>
          <w:rFonts w:hint="eastAsia" w:ascii="宋体" w:hAnsi="宋体"/>
          <w:b/>
          <w:color w:val="000000"/>
          <w:sz w:val="40"/>
          <w:szCs w:val="40"/>
          <w:highlight w:val="none"/>
        </w:rPr>
        <w:t xml:space="preserve">日</w:t>
      </w:r>
      <w:r/>
    </w:p>
    <w:p>
      <w:pPr>
        <w:rPr>
          <w:rStyle w:val="1246"/>
          <w:rFonts w:eastAsia="黑体"/>
          <w:bCs/>
          <w:sz w:val="48"/>
          <w:highlight w:val="none"/>
        </w:rPr>
      </w:pPr>
      <w:r>
        <w:rPr>
          <w:rFonts w:eastAsia="黑体"/>
          <w:bCs/>
          <w:sz w:val="48"/>
          <w:highlight w:val="none"/>
        </w:rPr>
      </w:r>
      <w:r/>
    </w:p>
    <w:p>
      <w:pPr>
        <w:rPr>
          <w:rStyle w:val="1246"/>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46"/>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42"/>
        <w:rPr>
          <w:color w:val="000000"/>
          <w:highlight w:val="none"/>
        </w:rPr>
      </w:pPr>
      <w:r>
        <w:rPr>
          <w:color w:val="000000"/>
          <w:highlight w:val="none"/>
        </w:rPr>
      </w:r>
      <w:r/>
    </w:p>
    <w:p>
      <w:pPr>
        <w:pStyle w:val="1247"/>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247"/>
        <w:rPr>
          <w:rFonts w:ascii="宋体" w:hAnsi="宋体" w:eastAsia="宋体"/>
          <w:bCs/>
          <w:color w:val="000000"/>
          <w:highlight w:val="none"/>
        </w:rPr>
      </w:pPr>
      <w:r>
        <w:rPr>
          <w:rFonts w:ascii="宋体" w:hAnsi="宋体" w:eastAsia="宋体"/>
          <w:bCs/>
          <w:color w:val="000000"/>
          <w:highlight w:val="none"/>
        </w:rPr>
      </w:r>
      <w:r/>
    </w:p>
    <w:p>
      <w:pPr>
        <w:pStyle w:val="1247"/>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247"/>
        <w:rPr>
          <w:rFonts w:ascii="宋体" w:hAnsi="宋体" w:eastAsia="宋体"/>
          <w:bCs/>
          <w:color w:val="000000"/>
          <w:highlight w:val="none"/>
        </w:rPr>
      </w:pPr>
      <w:r>
        <w:rPr>
          <w:rFonts w:ascii="宋体" w:hAnsi="宋体" w:eastAsia="宋体"/>
          <w:bCs/>
          <w:color w:val="000000"/>
          <w:highlight w:val="none"/>
        </w:rPr>
      </w:r>
      <w:r/>
    </w:p>
    <w:p>
      <w:pPr>
        <w:pStyle w:val="124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22</w:t>
      </w:r>
      <w:r/>
    </w:p>
    <w:p>
      <w:pPr>
        <w:pStyle w:val="1247"/>
        <w:rPr>
          <w:rFonts w:ascii="宋体" w:hAnsi="宋体" w:eastAsia="宋体"/>
          <w:bCs/>
          <w:color w:val="000000"/>
          <w:highlight w:val="none"/>
        </w:rPr>
      </w:pPr>
      <w:r>
        <w:rPr>
          <w:rFonts w:ascii="宋体" w:hAnsi="宋体" w:eastAsia="宋体"/>
          <w:bCs/>
          <w:color w:val="000000"/>
          <w:highlight w:val="none"/>
        </w:rPr>
      </w:r>
      <w:r/>
    </w:p>
    <w:p>
      <w:pPr>
        <w:pStyle w:val="124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59</w:t>
      </w:r>
      <w:r/>
    </w:p>
    <w:p>
      <w:pPr>
        <w:pStyle w:val="1247"/>
        <w:ind w:firstLine="320"/>
        <w:jc w:val="both"/>
        <w:rPr>
          <w:rFonts w:ascii="宋体" w:hAnsi="宋体" w:eastAsia="宋体"/>
          <w:bCs/>
          <w:color w:val="000000"/>
          <w:highlight w:val="none"/>
        </w:rPr>
      </w:pPr>
      <w:r>
        <w:rPr>
          <w:rFonts w:ascii="宋体" w:hAnsi="宋体" w:eastAsia="宋体"/>
          <w:bCs/>
          <w:color w:val="000000"/>
          <w:highlight w:val="none"/>
        </w:rPr>
      </w:r>
      <w:r/>
    </w:p>
    <w:p>
      <w:pPr>
        <w:pStyle w:val="124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75</w:t>
      </w:r>
      <w:r/>
    </w:p>
    <w:p>
      <w:pPr>
        <w:pStyle w:val="1242"/>
        <w:rPr>
          <w:color w:val="000000"/>
          <w:highlight w:val="none"/>
        </w:rPr>
      </w:pPr>
      <w:r>
        <w:rPr>
          <w:color w:val="000000"/>
          <w:highlight w:val="none"/>
        </w:rPr>
      </w:r>
      <w:r/>
    </w:p>
    <w:p>
      <w:pPr>
        <w:pStyle w:val="1247"/>
        <w:rPr>
          <w:rFonts w:ascii="宋体" w:hAnsi="宋体" w:eastAsia="宋体"/>
          <w:bCs/>
          <w:color w:val="000000"/>
          <w:highlight w:val="none"/>
        </w:rPr>
      </w:pPr>
      <w:r>
        <w:rPr>
          <w:rFonts w:ascii="宋体" w:hAnsi="宋体" w:eastAsia="宋体"/>
          <w:bCs/>
          <w:color w:val="000000"/>
          <w:highlight w:val="none"/>
        </w:rPr>
      </w:r>
      <w:r/>
    </w:p>
    <w:p>
      <w:pPr>
        <w:pStyle w:val="1247"/>
        <w:rPr>
          <w:rFonts w:ascii="宋体" w:hAnsi="宋体" w:eastAsia="宋体"/>
          <w:bCs/>
          <w:color w:val="000000"/>
          <w:highlight w:val="none"/>
        </w:rPr>
      </w:pPr>
      <w:r>
        <w:rPr>
          <w:rFonts w:ascii="宋体" w:hAnsi="宋体" w:eastAsia="宋体"/>
          <w:bCs/>
          <w:color w:val="000000"/>
          <w:highlight w:val="none"/>
        </w:rPr>
      </w:r>
      <w:r/>
    </w:p>
    <w:p>
      <w:pPr>
        <w:pStyle w:val="1247"/>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48"/>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49"/>
        <w:rPr>
          <w:rStyle w:val="1248"/>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无锡市锡山区教育局</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无锡市锡山区教育考试标准化考点建设项目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无锡市锡山区教育考试标准化考点建设项目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JSZC-320205-JZCG-G2026-0047</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863.2</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863.2</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color w:val="000000"/>
          <w:sz w:val="24"/>
          <w:szCs w:val="24"/>
          <w:highlight w:val="none"/>
        </w:rPr>
        <w:t xml:space="preserve">合同签订生效后90个日历天建设完成，9个月试运行后完成终验。项目服务期：5年（终验后进入项目服务期）。（具体以签订的合同为准）</w:t>
      </w:r>
      <w:r/>
    </w:p>
    <w:p>
      <w:pPr>
        <w:contextualSpacing/>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Theme="minorEastAsia" w:hAnsiTheme="minorEastAsia" w:eastAsiaTheme="minorEastAsia" w:cstheme="minorEastAsia"/>
          <w:color w:val="000000"/>
          <w:sz w:val="24"/>
          <w:szCs w:val="24"/>
        </w:rPr>
        <w:t xml:space="preserve">终验通过之日起提供5年免费质保服务</w:t>
      </w:r>
      <w:r>
        <w:rPr>
          <w:rFonts w:hint="eastAsia" w:asciiTheme="minorEastAsia" w:hAnsiTheme="minorEastAsia" w:eastAsiaTheme="minorEastAsia" w:cstheme="minorEastAsia"/>
          <w:color w:val="000000"/>
          <w:sz w:val="24"/>
          <w:szCs w:val="24"/>
          <w:lang w:eastAsia="zh-CN"/>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无锡市锡山区教育局</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ind w:firstLine="456"/>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JSZC-320205-JZCG-G2026-0047</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2026年10月10日9:30，投标截止时间后的投标文件恕不接受。</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开标时间：2026年10月1</w:t>
      </w:r>
      <w:bookmarkStart w:id="35" w:name="_GoBack"/>
      <w:r/>
      <w:bookmarkEnd w:id="35"/>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0日9:30</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投标及开标地点：江苏省政府采购（苏采云）平台</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无锡市锡山区教育局</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司吉鹏</w:t>
      </w:r>
      <w:r/>
    </w:p>
    <w:p>
      <w:pPr>
        <w:pStyle w:val="1249"/>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0510-88200262</w:t>
      </w:r>
      <w:r/>
    </w:p>
    <w:p>
      <w:pPr>
        <w:pStyle w:val="1250"/>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11.如是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w:t>
      </w:r>
      <w:r>
        <w:rPr>
          <w:rFonts w:hint="eastAsia" w:asciiTheme="minorEastAsia" w:hAnsiTheme="minorEastAsia" w:eastAsiaTheme="minorEastAsia" w:cstheme="minorEastAsia"/>
          <w:b/>
          <w:bCs/>
          <w:sz w:val="24"/>
          <w:szCs w:val="24"/>
        </w:rPr>
        <w:t xml:space="preserve">项目人员配置情况</w:t>
      </w:r>
      <w:r>
        <w:rPr>
          <w:rFonts w:hint="eastAsia" w:ascii="宋体" w:hAnsi="宋体" w:eastAsia="宋体" w:cs="宋体"/>
          <w:b/>
          <w:bCs/>
          <w:sz w:val="24"/>
          <w:szCs w:val="24"/>
          <w:lang w:val="en-US" w:eastAsia="zh-CN"/>
        </w:rPr>
        <w:t xml:space="preserve">、</w:t>
      </w:r>
      <w:r>
        <w:rPr>
          <w:rFonts w:hint="eastAsia" w:asciiTheme="minorEastAsia" w:hAnsiTheme="minorEastAsia" w:eastAsiaTheme="minorEastAsia" w:cstheme="minorEastAsia"/>
          <w:b/>
          <w:bCs/>
          <w:sz w:val="24"/>
          <w:szCs w:val="24"/>
        </w:rPr>
        <w:t xml:space="preserve">投标人综合情况</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技术响应</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演示、政策加分</w:t>
      </w:r>
      <w:r>
        <w:rPr>
          <w:rFonts w:hint="eastAsia" w:ascii="宋体" w:hAnsi="宋体" w:eastAsia="宋体" w:cs="宋体"/>
          <w:b/>
          <w:bCs/>
          <w:sz w:val="24"/>
          <w:szCs w:val="24"/>
        </w:rPr>
        <w:t xml:space="preserve">）和暗标（</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pStyle w:val="1231"/>
        <w:rPr>
          <w:rFonts w:hint="eastAsia"/>
        </w:rPr>
      </w:pPr>
      <w:r>
        <w:rPr>
          <w:rFonts w:hint="eastAsia" w:ascii="宋体" w:hAnsi="宋体" w:eastAsia="宋体" w:cs="宋体"/>
          <w:b/>
          <w:bCs/>
          <w:sz w:val="24"/>
          <w:szCs w:val="24"/>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251"/>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228"/>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228"/>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52"/>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2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2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无锡市锡山区教育局</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eastAsia="zh-CN"/>
        </w:rPr>
        <w:t xml:space="preserve">无锡市锡山区教育考试标准化考点建设项目</w:t>
      </w: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本项目中的</w:t>
      </w:r>
      <w:r>
        <w:rPr>
          <w:rFonts w:hint="eastAsia" w:asciiTheme="minorEastAsia" w:hAnsiTheme="minorEastAsia" w:eastAsiaTheme="minorEastAsia" w:cstheme="minorEastAsia"/>
          <w:b/>
          <w:bCs/>
          <w:sz w:val="24"/>
          <w:szCs w:val="24"/>
        </w:rPr>
        <w:t xml:space="preserve">核心产品为</w:t>
      </w:r>
      <w:r>
        <w:rPr>
          <w:rFonts w:hint="eastAsia" w:asciiTheme="minorEastAsia" w:hAnsiTheme="minorEastAsia" w:eastAsiaTheme="minorEastAsia" w:cstheme="minorEastAsia"/>
          <w:b/>
          <w:bCs/>
          <w:sz w:val="24"/>
          <w:szCs w:val="24"/>
          <w:u w:val="none"/>
        </w:rPr>
        <w:t xml:space="preserve">  接入交换机（48口）</w:t>
      </w:r>
      <w:r>
        <w:rPr>
          <w:rFonts w:hint="eastAsia" w:asciiTheme="minorEastAsia" w:hAnsiTheme="minorEastAsia" w:eastAsiaTheme="minorEastAsia" w:cstheme="minorEastAsia"/>
          <w:b/>
          <w:bCs/>
          <w:sz w:val="24"/>
          <w:szCs w:val="24"/>
          <w:u w:val="none"/>
          <w:lang w:eastAsia="zh-CN"/>
        </w:rPr>
        <w:t xml:space="preserve">，</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263"/>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23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中小企业声明函、关于符合本国产品标准的声明函所对应的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22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4311"/>
        <w:gridCol w:w="2616"/>
        <w:gridCol w:w="1656"/>
      </w:tblGrid>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网上巡查摄像机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校级SIP服务器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校级媒体分发服务器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校级SIP服务器/校级媒体分发服务器二合一设备</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网上巡查视频安全存储平台（64路）</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硬盘</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12路网络音视频解码器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16路网络音视频解码器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巡查管理电脑</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视频监控室显示终端</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SIP服务器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媒体分发服务器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SIP服务器/媒体分发服务器二合一设备</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大屏拼接及解码平台输出板</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大屏拼接及解码平台输入板</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巡查管理电脑</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液晶屏</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身份认证服务器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考务通终端设备</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考务通终端设备支架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充电柜（60位）</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全频段屏蔽终端</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手持式金属探测器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作弊防控管理平台</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视频会议终端</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视频会议摄像机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分体式会议智能终端</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车载摄像机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大容量电池</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车载设备收纳箱</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摄像机伸缩支架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摄像机吸盘支架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摄像机延长线</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接插件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标准化考点网络时钟</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标准化考点时钟同步服务器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智能型手机探测门</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手机存放柜</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防雨遮阳棚</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接入交换机（48口）</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接入交换机（24口）</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bidi="ar"/>
              </w:rPr>
              <w:t xml:space="preserve">4</w:t>
            </w:r>
            <w:r>
              <w:rPr>
                <w:rFonts w:hint="eastAsia" w:asciiTheme="minorEastAsia" w:hAnsiTheme="minorEastAsia" w:eastAsiaTheme="minorEastAsia" w:cstheme="minorEastAsia"/>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bidi="ar"/>
              </w:rPr>
              <w:t xml:space="preserve">4</w:t>
            </w:r>
            <w:r>
              <w:rPr>
                <w:rFonts w:hint="eastAsia" w:asciiTheme="minorEastAsia" w:hAnsiTheme="minorEastAsia" w:eastAsiaTheme="minorEastAsia" w:cstheme="minorEastAsia"/>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单模光模块</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多模光模块</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考点防火墙</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防火墙</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探针</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堡垒机</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参数详见下表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恶意代码防范</w:t>
            </w:r>
            <w:r/>
          </w:p>
        </w:tc>
        <w:tc>
          <w:tcPr>
            <w:shd w:val="clear" w:color="auto" w:fill="auto"/>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892" w:type="pct"/>
            <w:vAlign w:val="center"/>
            <w:textDirection w:val="lrTb"/>
            <w:noWrap/>
          </w:tcPr>
          <w:p>
            <w:pPr>
              <w:jc w:val="lef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bidi="ar"/>
              </w:rPr>
              <w:t xml:space="preserve">参数详见下表</w:t>
            </w:r>
            <w:r/>
          </w:p>
        </w:tc>
      </w:tr>
    </w:tbl>
    <w:p>
      <w:pPr>
        <w:rPr>
          <w:rFonts w:hint="default"/>
        </w:rPr>
      </w:pPr>
      <w:r>
        <w:rPr>
          <w:rFonts w:hint="default"/>
        </w:rPr>
      </w:r>
      <w:r/>
    </w:p>
    <w:p>
      <w:pPr>
        <w:numPr>
          <w:ilvl w:val="0"/>
          <w:numId w:val="0"/>
        </w:numPr>
        <w:contextualSpacing/>
        <w:spacing w:before="240" w:line="36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shd w:val="clear" w:color="auto" w:fill="auto"/>
          <w:lang w:val="en-US" w:eastAsia="zh-CN" w:bidi="ar-SA"/>
        </w:rPr>
        <w:t xml:space="preserve">二、</w:t>
      </w:r>
      <w:r>
        <w:rPr>
          <w:rFonts w:hint="eastAsia" w:ascii="宋体" w:hAnsi="宋体" w:eastAsia="宋体" w:cs="宋体"/>
          <w:b/>
          <w:bCs w:val="0"/>
          <w:sz w:val="28"/>
          <w:szCs w:val="24"/>
          <w:highlight w:val="none"/>
          <w:shd w:val="clear" w:color="auto" w:fill="auto"/>
          <w:lang w:val="en-US" w:eastAsia="zh-CN"/>
        </w:rPr>
        <w:t xml:space="preserve">技术参数部分</w:t>
      </w:r>
      <w:r/>
    </w:p>
    <w:tbl>
      <w:tblPr>
        <w:tblStyle w:val="122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588"/>
        <w:gridCol w:w="1560"/>
        <w:gridCol w:w="5963"/>
        <w:gridCol w:w="588"/>
        <w:gridCol w:w="589"/>
      </w:tblGrid>
      <w:tr>
        <w:trPr>
          <w:trHeight w:val="288"/>
        </w:trPr>
        <w:tc>
          <w:tcPr>
            <w:shd w:val="clear" w:color="auto" w:fill="dce6f1"/>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136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分项名称</w:t>
            </w:r>
            <w:r/>
          </w:p>
        </w:tc>
        <w:tc>
          <w:tcPr>
            <w:shd w:val="clear" w:color="auto" w:fill="dce6f1"/>
            <w:tcBorders>
              <w:top w:val="single" w:color="000000" w:sz="4" w:space="0"/>
              <w:left w:val="single" w:color="000000" w:sz="4" w:space="0"/>
              <w:bottom w:val="single" w:color="000000" w:sz="4" w:space="0"/>
              <w:right w:val="single" w:color="000000" w:sz="4" w:space="0"/>
            </w:tcBorders>
            <w:tcW w:w="249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性能指标</w:t>
            </w:r>
            <w:r/>
          </w:p>
        </w:tc>
        <w:tc>
          <w:tcPr>
            <w:shd w:val="clear" w:color="auto" w:fill="dce6f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网上巡查系统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标考考点（学校）前端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网上巡查摄像机（半球）－考场</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2.图像传感器：1/3英寸CMOS。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3.分辨率：≧2688*1520。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4.水平视角：广角≧93。</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5.最低照度：0.01Lux（F1.2）。</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6.高清升级支持H.264、H.265视频编码标准，图像分辨率应支持主码流400W、1080P可选，子码流支持720P。支</w:t>
            </w:r>
            <w:r>
              <w:rPr>
                <w:rFonts w:hint="eastAsia" w:asciiTheme="minorEastAsia" w:hAnsiTheme="minorEastAsia" w:eastAsiaTheme="minorEastAsia" w:cstheme="minorEastAsia"/>
                <w:color w:val="000000"/>
                <w:sz w:val="24"/>
                <w:szCs w:val="24"/>
                <w:lang w:bidi="ar"/>
              </w:rPr>
              <w:t xml:space="preserve">持G.711、AAC音频编码标准，并支持ProgramStream系统流和TransitionStream传输流的封装。H.264的具体要求符合ISO/IEC14496-10高级视频编码AVC标准；H.265的具体要求符合ITU-T制定的视频编码HEVC标准；G.711的具体要求符合ITU-TG.711标准；AAC的具体要求符合ISO14496-3Audio标准；ProgramStream系统流和TransitionStream传输流的封装标准应遵照ISO/IEC-13818-1（2000版本）的具体规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7.信噪比：≧45dB。</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8.镜头：2.8mm定焦镜头。</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9.红外照射：红外照射距离可达10—30米。</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10.自动背光补偿、自动跟踪白平衡、支持日夜转换。</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11.视频输出：10M/100M网口，支持二码流输出。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12.电源：DC12V或AC24V，支持POE供电。</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13.外壳：防暴力破坏。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14.壁装支架或吸顶支架可选，报价应当包含支架。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15.支持SD/SDHC/SDXC卡存储，并配备≧64GB高速存储卡。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16.支持ROI技术，具有移动侦测功能。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17.具有视频分析功能，包括人脸识别、人数统计、人群聚集、值岗检测、场景变换、周界入侵、目标徘徊等，可使用配套软件支持，但软件应当提供第三方开发接口，且包含在报价中。</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482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网上巡查摄像机（半球）－考务室、广播室</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2.图像传感器：1/3英寸CMOS。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3.分辨率：≧2688*1520。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4.水平视角：广角≧93。</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5.最低照度：0.01Lux（F1.2）。</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6.高清升级支持H.264、H.265视频编码标准，图像分辨率应支持主码流400W、1080P可选，子码流支持720P。支</w:t>
            </w:r>
            <w:r>
              <w:rPr>
                <w:rFonts w:hint="eastAsia" w:asciiTheme="minorEastAsia" w:hAnsiTheme="minorEastAsia" w:eastAsiaTheme="minorEastAsia" w:cstheme="minorEastAsia"/>
                <w:color w:val="000000"/>
                <w:sz w:val="24"/>
                <w:szCs w:val="24"/>
                <w:lang w:bidi="ar"/>
              </w:rPr>
              <w:t xml:space="preserve">持G.711、AAC音频编码标准，并支持ProgramStream系统流和TransitionStream传输流的封装。H.264的具体要求符合ISO/IEC14496-10高级视频编码AVC标准；H.265的具体要求符合ITU-T制定的视频编码HEVC标准；G.711的具体要求符合ITU-TG.711标准；AAC的具体要求符合ISO14496-3Audio标准；ProgramStream系统流和TransitionStream传输流的封装标准应遵照ISO/IEC-13818-1（2000版本）的具体规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7.信噪比：≧45dB。</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8.镜头：2.8mm定焦镜头。</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9.红外照射：红外照射距离可达10—30米。</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10.自动背光补偿、自动跟踪白平衡、支持日夜转换。</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11.视频输出：10M/100M网口，支持二码流输出。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12.电源：DC12V或AC24V，支持POE供电。</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13.外壳：防暴力破坏。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14.壁装支架或吸顶支架可选，报价应当包含支架。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15.支持SD/SDHC/SDXC卡存储，并配备≧64GB高速存储卡。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16.支持ROI技术，具有移动侦测功能。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17.具有视频分析功能，包括人脸识别、人数统计、人群聚集、值岗检测、场景变换、周界入侵、目标徘徊等，可使用配套软件支持，但软件应当提供第三方开发接口，且包含在报价中。</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84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网上巡查摄像机（筒型）－大门口</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2.图像传感器：1/3英寸CMOS。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3.分辨率：≧2688*1520。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4.水平视角：93°～30°。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5.最低照度：0.01Lux（F1.2）。</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6.高清升级支持H.264、H.265视频编码标准，图像分辨率应支持主码流400W、1080P可选，子码流支持720P。支</w:t>
            </w:r>
            <w:r>
              <w:rPr>
                <w:rFonts w:hint="eastAsia" w:asciiTheme="minorEastAsia" w:hAnsiTheme="minorEastAsia" w:eastAsiaTheme="minorEastAsia" w:cstheme="minorEastAsia"/>
                <w:color w:val="000000"/>
                <w:sz w:val="24"/>
                <w:szCs w:val="24"/>
                <w:lang w:bidi="ar"/>
              </w:rPr>
              <w:t xml:space="preserve">持G.711、AAC音频编码标准，并支持ProgramStream系统流和TransitionStream传输流的封装。H.264的具体要求符合ISO/IEC14496-10高级视频编码AVC标准；H.265的具体要求符合ITU-T制定的视频编码HEVC标准；G.711的具体要求符合ITU-TG.711标准；AAC的具体要求符合ISO14496-3Audio标准；ProgramStream系统流和TransitionStream传输流的封装标准应遵照ISO/IEC-13818-1（2000版本）的具体规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7.信噪比：≧45dB。</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8.镜头：2.7～12mm镜头。</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9.红外照射：红外照射距离可达10—30米。</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10.自动背光补偿、自动跟踪白平衡、支持日夜转换。</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11.视频输出：10M/100M网口，支持二码流输出。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12.电源：DC12V或AC24V，支持POE供电。</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13.外壳：防暴力破坏。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14.壁装支架或吸顶支架可选，报价应当包含支架。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15.支持SD/SDHC/SDXC卡存储，并配备≧64GB高速存储卡。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16.支持ROI技术，具有移动侦测功能。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17.具有视频分析功能，包括人脸识别、人数统计、人群聚集、值岗检测、场景变换、周界入侵、目标徘徊等，可使用配套软件支持，但软件应当提供第三方开发接口，且包含在报价中。</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标考考点（学校）平台</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校级SIP服务器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numPr>
                <w:ilvl w:val="0"/>
                <w:numId w:val="3"/>
              </w:num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支持标准SIP2.0；具有SIP地址解析、信令转发、路由、NAT穿透功能；支持远程用户、设备、视频点SIPURI映射；支持SIPURI统一命名规则、分级命名、联合定位；实现SIPURI组、用户、树形列表和SIP终端设备的接入认证功能。能对SIP终端的呼叫及访问权限进行控制；需建立SIP网关间的信任关系；支持媒体流的汇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3.应是嵌入式设备，采用国产CPU芯片如需含操作系统、数据库、中间件，则须为国产化操作系统、数据库、中间件。具有10M/100M/1000M自适应以太网接口；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4.具有用于实现对各路音视频的实时点播，对监控设备的远程控制；录像的回放以及检索等功能；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5.必须提供二次开发的软件接口，不得设置技术壁垒；</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6.具有视频自动检测功能；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7.预留《公共安全视频监控联网信息安全技术要求》GB35114-2017（A级）的升级接口；</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8.支持提供考务培训、题库、组卷服务，服务内容有3种。</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校级媒体分发服务器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numPr>
                <w:ilvl w:val="0"/>
                <w:numId w:val="4"/>
              </w:num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2.网络协议：支持TCP/IP、SIP、RTP、RTCP、DHCP和PPPOE等网络协议。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3.网络接口：10M/100M/1000M自适应以太网接口。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分发功能：采用组播、分发或广播的方式将音视频流转发给用户，同一时间分发路数不小于128路。提供多级转发、带宽自动适应等功能。还需提供极低延迟的控制信号转发、媒体流的分发功能。支持视频传输优先级控制；支持网络拥塞控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5.未经业主方额外书面提出需求，不得在转发前对转发视音频流做任何校验，应该直接转发。</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6.设备要求应是嵌入式设备，采用国产CPU芯片如需含操作系统、数据库、中间件，则须为国产化操作系统、数据库、中间件。</w:t>
            </w:r>
            <w:r/>
          </w:p>
          <w:p>
            <w:pPr>
              <w:numPr>
                <w:ilvl w:val="255"/>
                <w:numId w:val="0"/>
              </w:num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7.扩充性：必须提供二次开发的软件接口，不得设置技术壁垒。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校级SIP服务器/校级媒体分发服务器二合一设备</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说明：本清单项和上面两项（2.1校级SIP服务器、2.2校级媒体分发服务器）二选一</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1.所投产品符合GB/T 15211-2013安全防范报警设备环境适应性要求和试验方法、符合GB/T 36449-2018电子考场系统通用要求、符合《国家教育考试网上巡查系统视频标准技术规范（2017版）》技术要求；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2.设备支持国产嵌入式CPU、单颗CPU核心数≥8核，支持开源操作系统等；</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3.支持标准SIP2.0；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4.支持系统管理员用户分组，可对平台设置多个管理员，对每个管理员赋予不同的管理权限，如添加删除设备、账号权限，查看权限、设置权限等；</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5.支持多转发分布式部署协同工作，满足大路数高清视频流的转发需求，转发吞吐量在600Mbps以上（千兆网络条件下）；</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6.支持根据网络情况和使用需求，动态调整视频分辨率；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7.支持管理本地摄像机，可实时查看视频截图、OSD标签、在线状态等信息；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8.支持核心数据库的备份；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9.采用基于B/S架构的管理模式；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10.支持查看系统内设备的在线信息；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11.支持SIP向上级的主动注册与多级注册管理；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12.支持IPV4/IPV6、UDP、TCP、SIP、SSH、RTSP、NTP、RTP、RTCP 等网络协议；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13.支持媒体流分发，支持点播、组播、广播；</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14.视频转发格式需支持MPEG4、H.264、H.265，其中H.264需支持BP、EP、MP、HP画质级别中的至少三种，转发需支持PS、TS流封装；</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15.支持通过web端无须安装任何播放插件的情况下直接播放实时音视频图像</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16.支持网络拥塞控制等功能；</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17.支持视频路由控制；</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18.支持远程运维功能。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网上巡查视频安全存储平台（64路）</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2.支持≥64路1080P视频输入及IPC复合音频输入。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3.支持≥9块SATA硬盘，每块容量≥8T，应当满足同时64路以上至少15天连续不间断存储。</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4.输入接口≥1个10/100/1000Mbps自适应。</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5.支持HDMI、VGA、USB等接口。</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016"/>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硬盘</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监控专用硬盘，SATA硬盘，支持7*24小时工作、4T容量。</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12路网络音视频解码器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numPr>
                <w:ilvl w:val="0"/>
                <w:numId w:val="5"/>
              </w:num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高清升级支持H.264、H.265视频编码标准，图像分辨率应支持主码流400W、1080P可选，子码流支持720P。支持G.711、AAC音频编码标准，并支持ProgramStream系统流和TransitionStream传输流的封装。H.264的具体要求符合ISO/IEC14496-10高级视频编码AVC标准；H.265的具体要求符合ITU-</w:t>
            </w:r>
            <w:r>
              <w:rPr>
                <w:rFonts w:hint="eastAsia" w:asciiTheme="minorEastAsia" w:hAnsiTheme="minorEastAsia" w:eastAsiaTheme="minorEastAsia" w:cstheme="minorEastAsia"/>
                <w:color w:val="000000"/>
                <w:sz w:val="24"/>
                <w:szCs w:val="24"/>
                <w:lang w:bidi="ar"/>
              </w:rPr>
              <w:t xml:space="preserve">T制定的视频编码HEVC标准；G.711的具体要求符合ITU-TG.711标准；AAC的具体要求符合ISO14496-3Audio标准；ProgramStream系统流和TransitionStream传输流的封装标准应遵照ISO/IEC-13818-1（2000版本）的具体规定。应兼容符合2007规范规定的MPEG4视频编码格式（AdvancedSimpleProfile不带B帧，不带GMC），MPEGLayerII音频编码标准。可对原有标清系统编码进行视频解码。应当具有兼容性，支持更多的音视频编码标准。</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3.应具有以太网接口，支持TCP/IP协议；应支持SIP、RTP、RTCP等网络协议。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4.10M/100M/1000M自适应以太网接口，支持IP高清信号输入。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5.支持不少于12路HDMI接口。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7.音视频同步。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8.支持多路视频拼接输出。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9.必须提供二次开发的软件接口，不得设置技术壁垒。</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10.支持12种画面分割显示，支持M×N≤100的任意分割。可在单屏或多屏的任意位置上叠加显示，图层＞99层。</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16路网络音视频解码器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高清升级支持H.264、H.265视频编码标准，图像分辨率应支持主码流400W、1080P可选，子码流支持720P。支持G.711、AAC音频编码标准，并支持ProgramStream系统流和TransitionStream传输流的封装。H.264的具体要求符合ISO/IEC14496-10高级视频编码AVC标准；H.265的具体要求符合ITU-</w:t>
            </w:r>
            <w:r>
              <w:rPr>
                <w:rFonts w:hint="eastAsia" w:asciiTheme="minorEastAsia" w:hAnsiTheme="minorEastAsia" w:eastAsiaTheme="minorEastAsia" w:cstheme="minorEastAsia"/>
                <w:color w:val="000000"/>
                <w:sz w:val="24"/>
                <w:szCs w:val="24"/>
                <w:lang w:bidi="ar"/>
              </w:rPr>
              <w:t xml:space="preserve">T制定的视频编码HEVC标准；G.711的具体要求符合ITU-TG.711标准；AAC的具体要求符合ISO14496-3Audio标准；ProgramStream系统流和TransitionStream传输流的封装标准应遵照ISO/IEC-13818-1（2000版本）的具体规定。应兼容符合2007规范规定的MPEG4视频编码格式（AdvancedSimpleProfile不带B帧，不带GMC），MPEGLayerII音频编码标准。可对原有标清系统编码进行视频解码。应当具有兼容性，支持更多的音视频编码标准。</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3.应具有以太网接口，支持TCP/IP协议；应支持SIP、RTP、RTCP等网络协议。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4.10M/100M/1000M自适应以太网接口，支持IP高清信号输入。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5.支持不少于16路HDMI接口。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7.音视频同步。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8.支持多路视频拼接输出。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巡查管理电脑</w:t>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采用国产CPU芯片，设备含所需国产操作系统16G内存/1T硬盘/2G独显/10/100/1000以太网口/光电鼠标标准键盘/23.8英寸显示器/立式机箱。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视频监控室显示终端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物理分辨率：&gt;=3840*2160；输入电源：AC90~264V(±5%),50/60Hz；拼缝：&lt;=1.8mm；尺寸：55寸</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2.10</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接入网关</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1.用软硬件一体化结构，支持通过RTSP/RTMP/HTTP-FLV/HLS等流拉流接入摄像机，支持Onvif发现以及探测</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2.可实现与国家教育部考试中心网上巡查平台互联互通。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3.符合《国家教育考试网上巡查系统视频标准技术规范（2017版）》。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SIP服务器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支持标准SIP2.0；具有SIP地址解析、信令转发、路由、NAT穿透功能；支持远程用户、设备、视频点SIPURI映射；支持SIPURI统一命名规则、分级命名、联合定位；实现SIPURI组、用户、树形列表和SIP终端设备的接入认证功能。能对SIP终端的呼叫及访问权限进行控制；需建立SIP网关间的信任关系；支持媒体流的汇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3.应是嵌入式设备，采用国产CPU芯片（飞腾腾锐D2000/海光2号C863250/龙芯3D5000等），如需含操作系统、数据库、中间件，则须为国产化操作系统、数据库、中间件。具有10M/100M/1000M自适应以太网接口；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4.具有用于实现对各路音视频的实时点播，对监控设备的远程控制；录像的回放以及检索等功能；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5.必须提供二次开发的软件接口，不得设置技术壁垒；</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6.具有视频自动检测功能；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7.预留《公共安全视频监控联网信息安全技术要求》GB35114-2017（A级）的升级接口；</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媒体分发服务器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1.应符合《国家教育考试网上巡查系统视频标准技术规范（2017版）》技术要求、《电子考场系统通用要求》GB/T36449-2018、GB/T28181-2022《公共安全视频监控联网系统信息传输、交换、控制技术要求》标准的设备。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2.网络协议：支持TCP/IP、SIP、RTP、RTCP、DHCP和PPPOE等网络协议。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3.网络接口：10M/100M/1000M自适应以太网接口。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分发功能：采用组播、分发或广播的方式将音视频流转发给用户，同一时间分发路数不小于128路。提供多级转发、带宽自动适应等功能。还需提供极低延迟的控制信号转发、媒体流的分发功能。支持视频传输优先级控制；支持网络拥塞控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5.未经业主方额外书面提出需求，不得在转发前对转发视音频流做任何校验，应该直接转发。</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6.设备要求应是嵌入式设备，采用国产CPU芯片（飞腾腾锐D2000/海光2号C863250/龙芯3D5000等），设备要求应是嵌入式设备，采用国产CPU芯片（飞腾腾锐D2000/海光2号C86 3250/龙芯3D5000等）；如需含操作系统、数据库、中间件，则须为国产化操作系统、数据库、中间件。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SIP服务器/媒体分发服务器二合一设备</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说明：本清单项和上面两项（3.1SIP服务器3.2媒体分发服务器）二选一</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1.所投产品符合GB/T 15211-2013安全防范报警设备环境适应性要求和试验方法、符合GB/T 36449-2018电子考场系统通用要求、符合《国家教育考试网上巡查系统视频标准技术规范（2017版）》技术要求；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2.设备支持国产嵌入式CPU、单颗CPU核心数≥8核，支持开源操作系统等；</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3.支持标准SIP2.0；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4.支持系统管理员用户分组，可对平台设置多个管理员，对每个管理员赋予不同的管理权限，如添加删除设备、账号权限，查看权限、设置权限等；</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5.支持多转发分布式部署协同工作，满足大路数高清视频流的转发需求，转发吞吐量在600Mbps以上（千兆网络条件下）；</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6.支持根据网络情况和使用需求，动态调整视频分辨率；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7.支持管理本地摄像机，可实时查看视频截图、OSD标签、在线状态等信息；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8.支持核心数据库的备份；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9.采用基于B/S架构的管理模式；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10.支持查看系统内设备的在线信息；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11.支持SIP向上级的主动注册与多级注册管理；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12.支持IPV4/IPV6、UDP、TCP、SIP、SSH、RTSP、NTP、RTP、RTCP 等网络协议； </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13.支持媒体流分发，支持点播、组播、广播；</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14.视频转发格式需支持MPEG4、H.264、H.265，其中H.264需支持BP、EP、MP、HP画质级别中的至少三种，转发需支持PS、TS流封装；</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15.支持通过web端无须安装任何播放插件的情况下直接播放实时音视频图像</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16.支持网络拥塞控制等功能；</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17.支持视频路由控制；</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18.支持远程运维功能。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1.设备集电源、总线背板、智能控温风扇于一体，19英寸标准机架式，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2.最大支持10块业务板卡，支持按需选配HDMI输入/输出业务板卡，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3.具有不少于4个RJ4510M/100M/1000M自适应以太网口，具有RS485/RS232串行接口；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4.电源采用AC200～240V，50Hz，1+1冗余电源。</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大屏拼接及解码平台输出板</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4路视频输出，HDMI接口；输出分辨率：支持奇数口输出：4K：3840×2160@30HZ；1080P:1920×1080@60Hz、1920×1080@50HzWSXGA:1680*1050@60Hz；UXGA:1600×1200@60HzSXGA:1280×1024@60Hz720P:1280×720p@60Hz、1280×720p@50Hz；XGA:1024</w:t>
            </w:r>
            <w:r>
              <w:rPr>
                <w:rFonts w:hint="eastAsia" w:asciiTheme="minorEastAsia" w:hAnsiTheme="minorEastAsia" w:eastAsiaTheme="minorEastAsia" w:cstheme="minorEastAsia"/>
                <w:color w:val="000000"/>
                <w:sz w:val="24"/>
                <w:szCs w:val="24"/>
                <w:lang w:bidi="ar"/>
              </w:rPr>
              <w:t xml:space="preserve">×768@60Hz支持偶数口输出：1080P:1920×1080@60Hz、1920×1080@50Hz；WSXGA:1680*1050@60Hz；SXGA:1280×1024@60Hz720P:1280×720p@60Hz、1280×720p@50Hz；XGA:1024×768@60Hz；解码通道数：32个；解码能力：解码6路1200w@18fps或12路600w@25fps或14路500w@25fps或24路300w@25fps或32路200w@25fps；画面分割数：1/4/6/8/9/16画面分割。</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大屏拼接及解码平台输入板</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4路视频输入，HDMI接口，支持分辨率：WUXGA:1920×120060fps；1080P:1920×1080P50fps、1920×1080P60fps；UXGA:1600×120060fp</w:t>
            </w:r>
            <w:r>
              <w:rPr>
                <w:rFonts w:hint="eastAsia" w:asciiTheme="minorEastAsia" w:hAnsiTheme="minorEastAsia" w:eastAsiaTheme="minorEastAsia" w:cstheme="minorEastAsia"/>
                <w:color w:val="000000"/>
                <w:sz w:val="24"/>
                <w:szCs w:val="24"/>
                <w:lang w:bidi="ar"/>
              </w:rPr>
              <w:t xml:space="preserve">s；SXGA:1280×102460fps、1366×76860fps；WXGA+:1440×90060fps；WSXGA+:1680×105060fps；XVGA:1280×96060fps；720P:1280×720P50fps、1280×720P60fps；XGA:1024×76860fps；SVGA:800×60060fps；编码标准：标准H.264；编码能力：4路，支持的编码分辨率为：1080P、UXGA、XGA、SXGA、1366×76860fps、WXGA+、WSXGA+、XVGA、720P。</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巡查管理电脑</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采用国产CPU芯片，设备含所需国产操作系统16G内存/1T硬盘/2G独显/10/100/1000以太网口/光电鼠标标准键盘/23.8英寸显示器/立式机箱。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液晶屏</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物理分辨率：&gt;=3840*2160；输入电源：AC90~264V(±5%),50/60Hz；拼缝：&lt;=1.8mm；尺寸：55寸</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区指挥中心改造</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区指挥中心会议室设施改造</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身份认证系统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1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身份认证服务器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采用国产CPU芯片，设备含所需国产操作系统、含所需国产数据库。</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内存：不低于64GB；硬盘：不低于240G固态+2TBHDD；网口：不低于千兆；电源：1+1冗余电源。</w:t>
            </w:r>
            <w:r>
              <w:rPr>
                <w:rFonts w:hint="eastAsia" w:asciiTheme="minorEastAsia" w:hAnsiTheme="minorEastAsia" w:eastAsiaTheme="minorEastAsia" w:cstheme="minorEastAsia"/>
                <w:sz w:val="24"/>
                <w:szCs w:val="24"/>
              </w:rPr>
              <w:t xml:space="preserve">也可提供符合实际需求性能指标的虚拟机方案。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1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考务通终端设备</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1.设备采用≥8英寸电容触摸屏；操作系统支持安卓系统10.0及以上；</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2.主频不低于1.8GHZ，8核处理器；不低于4G运行内存、64G存储硬盘；</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3.屏幕分辨率不低于1920*1200;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4.前后摄像头不低于800万像素；</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5.电池容量不低于5000mAh;</w:t>
            </w:r>
            <w:r/>
          </w:p>
          <w:p>
            <w:pP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6.身份证阅读模块：符合公安部《手持式居民身份证阅读器》（GA1153-2014）或符合公安部《台式居民身份证阅读器通用技术要求》（GA450-2013），可读取二代身份证信息。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273</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考务通终端设备支架</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专属定制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273</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考点上级指挥中心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3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充电柜（60位）</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1.可同时支持60位平板电脑充电；</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2.外形尺寸：860*500*950mm（含脚轮把手）；</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采用一体化综合电源管理系统，集漏电保护、过载保护、时控管理、时序供电等于一体，集成电源管理模块：配备充电管理系统，具备2路3芯常通电插座、4路3芯时序供电插座，可分区控制平板电脑的供电，防止瞬间电流过大对设备造成损坏，带有过载保护功能；一个模块三种供电模式：时序供电模式、定时供电模式、循环供电模式，集充电管理，过载保护，数码显示于一体，同时有通电状态指示灯和4路时序供电工作指示灯；</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4.带有散热风扇，充电过程中热量直接由风扇排出柜体，柜体四周带通风散热孔；</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5.充电接口分电源插座或USB插座两种；避免万用插座的安全隐患；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6.机身两侧为模具ABS注塑成型；充电仓和电源管理仓为独立的两个仓，前门（存储仓）270°打开，后门120°打开；</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7.设备存储舱采用向内倾斜4度，避免设备移动时正在充电的Pad；</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8.柜体侧面有一个电源线绕线架，可调节电源线长短，避免电源线过长造成危险</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三</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作弊防控系统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标考考点（学校）前端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7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全频段屏蔽终端</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1.支持满足标准考场阻断效果，在6m×9m标准化考场空间内，信号强度≤-65dBm时，可有效屏蔽95%以上区域。工作频率50MHz-5850MHz</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2.并发阻断能力：支持不少于18路；</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3.可靠性：安全散热，支持7*24小时，连续工作，性能稳定，MTBF≥2000小时；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阻断能力：对讲机U段、对讲机V段、无线隐形耳机、骨传导耳机、无线数字传输接收工具任意多的无线信号进行直接屏蔽，且70MHz~1000MHz的任意多作弊信号实现全部屏蔽、电信、移动、联通等运营商2G/3G/4G频段，Wi-Fi（2.4G/5.8G）/蓝牙频段、公众对讲频段、5G信号（2515-2675MHz、3300-3600MHz、4800-5000MHz、广电700-800MHz）；</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5.设备运行期间，应当实现不间断持续阻断；</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6.独立全频段阻断，范围与工作频率保持一致；</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7.数据接口：RJ45，10M/100M，支持分组远程任意通道的开关设备；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8.天线类型：隐蔽式天线阵列设计；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9.辐射标准：符合GB8702-2014《电磁环境控制限值》；</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10.预留6G模块的升级接口；包含6G屏蔽模块的扩容升级服务（6G模块设备费和人工升级费用）。</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11.符合《国家重要考试考场手机信号屏蔽设备设置使用管理规定（试行）》要求，并获得工信部《无线电发射设备型号核准证书》</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273</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7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手持式金属探测器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采用优质元器件制作，扫描面积大、性能稳定、耐用，操作简单、外形轻巧美观，声音清脆响亮，主要用于考场，学校防止携带通讯工具进行作弊的检查工作。灵敏度选择：可根据现场要求调节灵敏度，有高、低两种灵敏度选择；报警提醒：具有灯光、声音、振动等方式进行报警提示；换电提醒：低耗电量，可连续操作40小时，电池用完时有自动连续的声音或振动告警，提醒用户更换电池；探测灵敏度：探测人民币一元硬币，探测距离≥5C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273</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标考考点（学校）平台</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5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作弊防控管理平台</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1.管理功能：对本地所有的终端设备进行集中调试、查看和管理，支持远程授权控制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2.数据管理：支持智能化、自动化考试模式管理，提供考前、考中及考后自动工作模式，可根据考试计划实现无人值守式管理；支持本级黑白名单的管理；</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3.黑白名单：根据本地域的情况，支持对黑白名单的设置和管理维护。</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4.可扩展性：支持分布式网络部署架构，可根据业务需要不断扩展。</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5.数据接口：RJ45，支持与全频段屏蔽终端组网</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8.工作环境工作温度：0℃-+40℃；相对湿度：20%—80%（无凝露）。</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视频会议和考试指挥系统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视频会议终端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1.架构：采用嵌入式操作系统，非Windows系统；非PC架构，非工控机架构，摄像头及主机分体式结构。</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协议：多媒体框架协议：支持多种线路类型，支持H.323/SIP协议标准，支持IP接入速率128Kbps-6Mbps。视频编解码协议：支持H.263、H.264、H.264HighProfile、H.264SVC视频图像编码协议，图像格式支持1080P60帧、1080P30帧、720P60帧、720P30帧、4CIF，CIF，本次要求配置对称1080P60帧编解码能力。</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3.双流性能支持标准H.239协议的双流收发，主流视频图像和辅流PC桌面数据输入输出都能达到1080P分辨率。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4.网络适应性应具有良好的网络适应性，支持丢包恢复功能，在IP网络发生20%丢包时仍能够进行流畅的音视频沟通，图像无马赛克、停顿。在IP网络发生70%丢包时仍能保持音频通信畅通。</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接口信息最少具有2路高清输入接口和2路高清输出接口，高清接口支持HDMI或者DVI接口或3G-SDI接口或HDCI接口，可同时支持在2个显示屏上分别显示近端、远端及双流画面；至少3路音频输入能力和2路音频输出能力。提供产品背板接口说明图。</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6.支持省指挥中心维护管理平台进行统一维护管理。</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5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视频会议摄像机</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1.具有200万有效像素，可实现1920x1080高分辨率的优质图像；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2.支持12倍光学变焦，16倍数字变焦；或30倍光学变焦</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3.配套支持视频编码H.264/H.265；</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4.配套支持双码流，视频码率在32Kbps~20480Kbps之间；</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5.输出分辨率1920x1080,1280x720,1024x576,960x540,640x480,640x360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无线全向麦支持360°拾音；</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配合回声消除、智能降噪功能，可实现大范围的会议室覆盖率，提供优质的拾音效果，带给用户面对面的会议体验；</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支持360°拾音，支持智能降噪，支持回声消除，清晰、稳定、流畅；</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分体式会议智能终端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1.终端主机1台，支持单路显示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2.标配12倍光学变焦摄像头1台，无线传屏1支+麦克风1个</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3.2路视频输入（POE*2），1路视频输出（HDMI*1）</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4.支持1080P/60、H.264SVC/H.265SVC协议、支持有线及Wifi网络</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5.支持公有云服务</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五</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试卷跟踪系统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车载端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4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视频输入：支持4路6芯航空头接口IPC，1080P；硬盘存储：标配500G机械硬盘；1个SD卡接口；通信模块：全网通；定位模块：支持北斗定位；Wi-Fi模块：内置5.8GWIFI；含硬盘录像软件。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4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车载摄像机</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200万车载网络摄像机；视频压缩标准：H.265/H.264；图像尺寸：1920×1080；通讯接口：六芯航空头网络接口；支持内置麦克风；含视音频编码算法软件。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4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大容量电池</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大容量锂电池，DC12V输出，电量：30AH，含配套电源适配器。电池工作温度：0~60度；</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576"/>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车载设备收纳箱</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便携式设备收纳箱，手提箱，用于收纳车载设备。</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摄像机伸缩支架</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30-60CM可伸缩，银色，带底盘</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摄像机吸盘支架</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吸盘支架，支持万向调节。</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576"/>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摄像机延长线</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车载6芯IPC航空头延长线；接头：12M-6A转12M-6B；长度：4m。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根</w:t>
            </w:r>
            <w:r/>
          </w:p>
        </w:tc>
      </w:tr>
      <w:tr>
        <w:trPr>
          <w:trHeight w:val="576"/>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摄像机延长线</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车载6芯IPC航空头延长线；接头：12M-6A转12M-6B；长度：8m。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根</w:t>
            </w:r>
            <w:r/>
          </w:p>
        </w:tc>
      </w:tr>
      <w:tr>
        <w:trPr>
          <w:trHeight w:val="576"/>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接插件</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摄像机连接件、电源连接线、开关连接线</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六</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考场实时分析系统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市指挥中心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04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智能行为分析平台</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1.支持巡查视频接入，支持不少于275路考场实时视频接入；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2.可同时进行不少于275路高清视频解码与智能分析；</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3.支持对教育部要求的40种异常行为进行智能分析，覆盖考试个人异常行为、考生群体异常行为、监考员异常行为。</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4.智能分析平台获取考场高清巡查摄像机视频，实现对不少于275路考场视频的实时分析，并将分析结果上传到智能监考平台。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5.含智能监考平台（校级）软件。6、能无缝对接智能监考平台（市级）和协同工作。</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275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路</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七</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网络时钟系统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标考考点（学校）前端</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4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标准化考点网络时钟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显示内容：时/分；</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显示器件：4寸数码管；</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显示颜色：红色；</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守时方式：内置RTC电池，支持断电记忆；</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离线守时：在断网情况下，内置晶振守时；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时间同步：支持NTP协议，可与NTP时钟同步服务器时间同步，消除累积误差；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开机自检：开机自动检测数码管、驱动电路、内部时钟等器件状态；</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外壳材质：金属边框、亚克力面板；</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通讯接口：1个RJ4510M/100M自适应以太网口；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供电方式：AC220V50Hz；</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安装方式：壁挂；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内置网络时钟智能同步嵌入式软件。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468</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40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标准化考点时钟同步服务器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时间来源：北斗卫星、4G-LTE；</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守时方式：内置RTC电池、温补晶振，支持卫星失锁守时、断电守时；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授时精度：用户终端同步授时精度：1ms；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输出接口：具有RJ4510M/100M自适应以太网口；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天线接口：具有天线接口，标配30米天线；</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供电方式：AC220V50Hz；</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平均故障间隔时间：大于50000小时；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安装方式：机架式安装。</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内置网络时钟智能授时服务嵌入式软件。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八</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安检门系统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考点</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3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智能型手机探测门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1.支持手机进行分类检测和声光报警；支持排除钥匙、皮带扣、眼镜、首饰、各类文具等日常金属用品不误报；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2.支持探测过检人员是否携带手机（开机、关机、拔除SIM卡等多种状态均可），并能进行声光报警，准确显示报警位置；</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3.支持前后≥10寸嵌入式信息发布屏；</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4.应具有故障报警功能；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5.符合国际安全标准，对心脏起搏器佩戴者、孕妇、磁性介质等无害。</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6.支持联网互通，搭配平台可在后端对通过人数及报警人数统计展呈；</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7.支持RJ45网络接口，支持web远程调试；</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8.工作频率可根据安装环境自行调节；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9.工作温度：-20℃-55℃；外接电源：110V—242V，50/60Hz；功耗：＜60W；</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10.防护等级≥IP41；</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11.符合国家安全标准GB15210-2018《通过式金属探测门通用技术规范》；</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扇</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手机存放柜</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200门手机存放柜</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防雨遮阳棚</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雨棚</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112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手持式金属探测器</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采用优质元器件制作，扫描面积大、性能稳定、耐用，操作简单、外形轻盈美观，声音清脆响亮，主要用于考场，学校防止携带通讯工具进行作弊的检查工作。灵敏度选择：可根据现场要求调节灵敏度，有高、低两种灵敏度选择；报警提醒：具有灯光、声音、振动等方式进行报警提示；换电提醒：低耗电量，可连续操作40小时，电池用完时有自动连续的声音或振动告警，提醒用户更换电池；探测灵敏度：探测人民币一元硬币，探测距离≥5C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九</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网络系统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3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接入交换机（48口）</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1.交换容量≥672Gbps；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2.包转发率≥166Mpps；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3.端口10/100/1000Base-T以太网端口≥48，千兆SFP≥4，支持POE,POE可用功率370W</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3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接入交换机（24口）</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1.交换容量≥672Gbps；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2.包转发率≥126Mpps；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3.提供24个千兆电口，4个千兆SFP，支持POE，POE可用功率370W</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38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汇聚交换机</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1.交换容量≥1.36Tbps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2.包转发率≥420Mpps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3.端口类型千兆光口≥24个，千兆电口≥8个；万兆SFP+≥4</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4.电源1+1冗余</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5.支持CPU保护，可将送CPU的报文，如ARP报文的速率进行限制，使CPU的使用率≤16%。</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单模光模块</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单模，40KM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多模光模块</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千兆多模</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152"/>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接入交换机（48口）</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1.交换容量≥672Gbps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2.包转发率≥160Mpps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3.端口千兆光口≥48，万兆光口≥4</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72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1.交换容量≥1.36Tbps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2.包转发率≥426Mpps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3.端口类型千兆SFP≥24个；万兆SFP+≥4个，业务扩展插槽≥1个，可扩展支持8*10GESFP+端口</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4.电源1+1冗余，含1根3米堆叠电缆</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5.支持虚拟化，可将多台物理设备虚拟化为一台逻辑设备统一管理，并且链路故障的收敛时间≤51ms。</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光模块</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单模，40KM</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多模光模块</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千兆多模</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个</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十</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安全系统</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考点防火墙</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一、硬件设备参数：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1U机型，≥8个千兆电口，≥4个千兆光插槽，≥1个console口，≥1个扩展槽位</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二、性能参数：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IPSEC吞吐≥600Mbps，IPSEC隧道数≥200，防火墙吞吐率≥5Gbps，最大并发连接≥200W</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防火墙引擎，</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四、功能要求：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1.需支持多元组的访问控制规则，至少支持基于源MAC、源端口、服务、时间、域名、URL等多个元素进行访问控制；</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2.需支持WEB界面显示每条策略的命中数，能够在WEB界面显示每条策略所引用资源（地址、区域、时间、服务、域名等）的对象信息；</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3.需支持SD-WAN的接入能力，实现零配置免接触式快速上线功能；</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4.需支持IPv4/IPv6双栈工作模式</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288"/>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2494"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3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防火墙</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一、硬件设备参数：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2U机型，内存≥16G，机械硬盘≥4T，≥6个千兆电口，≥2个千兆光插槽，≥2个万兆光口，冗余电源，≥2个扩展槽位</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二、性能参数：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防火墙吞吐≥30G，并发连接≥650万，每秒新建连接≥18万，应用层吞吐量≥20G，IPSECVPN吞吐≥1G，IPSECVPN隧道数≥2000。</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包含入侵防御、病毒过滤、应用识别、URL过滤、WAF功能模块、IPSECVPN功能、SSLVPN功能，含100个sslvpn授权许可</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四、功能要求：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1.需支持对DGA、隐蔽信道、恶意加密流量进行检测</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2.需支持DDOS防御功能，支持NTP流量检测清洗，能对NTPREQUESTFLOOD、NTPREPLYFLOOD等攻击进行检测并提供基于NTP请求限速、NTP响应限速、源认证、会话认证等防御策略；</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3.需支持暴力破解检测功能，支持检测telnet、ftp、mysql、smb、rlogin、ssh、rdp、imap、pop3、smtp等10种协议，支持将暴力破解源IP添加到动态黑名单；</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4.需支持对HTTP/SMTP/POP3/FTP/IMAP/IM等协议进行病毒防御；支持2种专业品牌反病毒厂商病毒特征库，病毒特征库规模不少于400万；支持对6级以上的压缩文件进行解压查杀；</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3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探针</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一、硬件设备参数：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1U机型，内存≥32G，机械硬盘≥4TB,≥8个千兆电口（含1个管理口和1个HA口），≥4个千兆光口插槽，≥1个CONSOLE口，冗余电源，≥2个扩展槽位</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二、性能参数：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最大并发连接数≥50W，综合威胁检测能力≥1Gbps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特征库升级，包含攻击检测规则库、应用识别库、地理信息库、僵尸主机规则库、威胁情报库、URL分类库。</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四、功能要求：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1.需支持对恶意文件还原捕获，可自定义捕获文件大小，支持对恶意文件、疑似恶意文件、无风险文件还原。支持对还原捕获的恶意文件使用FTP服务、SFTP服务外发第三方平台；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需支持对TCP/UDP流量、ICMP流量、HTTP流量、邮件流量、FTP流量、DNS流量、NFS流量、SMB流量、SSL流量、LDAP流量、RDP流量等多种常见流量深入内容层解析元数据；支持对HTTPS流量、加密邮件流量、FTPS流量等多种加密流量深入内容层解析元数据</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3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numPr>
                <w:ilvl w:val="0"/>
                <w:numId w:val="6"/>
              </w:num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硬件设备参数：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2U机型，冗余电源</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二、性能参数：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≥16G内存，≥120GSSD系统盘，≥数据盘4T，≥2个USB接口，日志采集处理速度≥3000EPS；</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包含50个日志源授权。该设备不含特征库，因此不涉及特征库升级</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四、功能要求：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1.需支持对日志流量非常大但是日志重要程度低的syslog类型日志源进行限制接收速率，降低对系统资源的占用，保障重要日志的收集，支持限制速率设置为1000条/秒、3000条/秒和5000条/秒等；</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2.可独立设置每个被采集源的数据存储，且存储时间可设置多种时间段；</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sz w:val="24"/>
                <w:szCs w:val="24"/>
                <w:lang w:bidi="ar"/>
              </w:rPr>
              <w:t xml:space="preserve">3.需支持根据设备重要程度设置，独立设置每个被采集源的数据存储，存储时间满足≥1个月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r>
        <w:trPr>
          <w:trHeight w:val="136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堡垒机</w:t>
            </w:r>
            <w:r/>
          </w:p>
        </w:tc>
        <w:tc>
          <w:tcPr>
            <w:tcBorders>
              <w:top w:val="single" w:color="000000" w:sz="4" w:space="0"/>
              <w:left w:val="single" w:color="000000" w:sz="4" w:space="0"/>
              <w:bottom w:val="single" w:color="000000" w:sz="4" w:space="0"/>
              <w:right w:val="single" w:color="000000" w:sz="4" w:space="0"/>
            </w:tcBorders>
            <w:tcW w:w="2494" w:type="pct"/>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一、硬件设备参数：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2U机型，≥1个consloe口，≥2个USB口，≥6个千兆电口，≥4个千兆光口插槽，内置国密加密卡，≥16G内存，≥4T机械硬盘，冗余电源，≥1个扩展槽位</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二、软件授权：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包含200个主机/设备许可，用户数不限制。该设备不含特征库，因此不涉及特征库升级</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1.需支持对堡垒机虚拟为多台逻辑堡垒机，虚拟堡垒机之间实现独立配置、独立数据。实现IT资源的动态分配、灵活调度、跨域共享，提高IT资源利用率；</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2.需支持RDP、VNC图形操作过程中键盘输入操作记录、剪贴板和鼠标点击行为记录；</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3.需支持改密结果自动发送至制定改密计划的管理员邮箱；密码采用密码信封加密保存，以保证安全性；</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台</w:t>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ind w:firstLine="482"/>
        <w:jc w:val="left"/>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rPr>
        <w:t xml:space="preserve">5.2项目软件采购清单</w:t>
      </w:r>
      <w:r/>
    </w:p>
    <w:tbl>
      <w:tblPr>
        <w:tblStyle w:val="122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103"/>
        <w:gridCol w:w="3266"/>
        <w:gridCol w:w="2617"/>
        <w:gridCol w:w="1194"/>
        <w:gridCol w:w="1104"/>
      </w:tblGrid>
      <w:tr>
        <w:trPr>
          <w:trHeight w:val="288"/>
        </w:trPr>
        <w:tc>
          <w:tcPr>
            <w:shd w:val="clear" w:color="auto" w:fill="dce6f1"/>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分项名称</w:t>
            </w:r>
            <w:r/>
          </w:p>
        </w:tc>
        <w:tc>
          <w:tcPr>
            <w:shd w:val="clear" w:color="auto" w:fill="dce6f1"/>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功能指标</w:t>
            </w:r>
            <w:r/>
          </w:p>
        </w:tc>
        <w:tc>
          <w:tcPr>
            <w:shd w:val="clear" w:color="auto" w:fill="dce6f1"/>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单位</w:t>
            </w:r>
            <w:r/>
          </w:p>
        </w:tc>
      </w:tr>
      <w:tr>
        <w:trPr>
          <w:trHeight w:val="288"/>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网上巡查系统</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标考考点（学校）平台</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674"/>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巡查管理软件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软件授权：含1个授权。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时回</w:t>
            </w:r>
            <w:r>
              <w:rPr>
                <w:rFonts w:hint="eastAsia" w:asciiTheme="minorEastAsia" w:hAnsiTheme="minorEastAsia" w:eastAsiaTheme="minorEastAsia" w:cstheme="minorEastAsia"/>
                <w:color w:val="000000"/>
                <w:sz w:val="24"/>
                <w:szCs w:val="24"/>
                <w:lang w:bidi="ar"/>
              </w:rPr>
              <w:t xml:space="preserve">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像状态，支持对录像异常状态报警提示。支持对本地存储设备录像文件按时间进行检索；支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50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巡查管理软件</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软件授权：含1个授权。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时回</w:t>
            </w:r>
            <w:r>
              <w:rPr>
                <w:rFonts w:hint="eastAsia" w:asciiTheme="minorEastAsia" w:hAnsiTheme="minorEastAsia" w:eastAsiaTheme="minorEastAsia" w:cstheme="minorEastAsia"/>
                <w:color w:val="000000"/>
                <w:sz w:val="24"/>
                <w:szCs w:val="24"/>
                <w:lang w:bidi="ar"/>
              </w:rPr>
              <w:t xml:space="preserve">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像状态，支持对录像异常状态报警提示。支持对本地存储设备录像文件按时间进行检索；支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288"/>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安全系统</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06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110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恶意代码防范</w:t>
            </w:r>
            <w:r/>
          </w:p>
        </w:tc>
        <w:tc>
          <w:tcPr>
            <w:tcBorders>
              <w:top w:val="single" w:color="000000" w:sz="4" w:space="0"/>
              <w:left w:val="single" w:color="000000" w:sz="4" w:space="0"/>
              <w:bottom w:val="single" w:color="000000" w:sz="4" w:space="0"/>
              <w:right w:val="single" w:color="000000" w:sz="4" w:space="0"/>
            </w:tcBorders>
            <w:tcW w:w="1409" w:type="pct"/>
            <w:textDirection w:val="lrTb"/>
            <w:noWrap w:val="false"/>
          </w:tcPr>
          <w:p>
            <w:pPr>
              <w:numPr>
                <w:ilvl w:val="0"/>
                <w:numId w:val="7"/>
              </w:num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软件功能参数：</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具备病毒检测、病毒处理、文件实时监控、隔离区管理、日志、升级更新等功能。</w:t>
            </w:r>
            <w:r>
              <w:rPr>
                <w:rFonts w:hint="eastAsia" w:asciiTheme="minorEastAsia" w:hAnsiTheme="minorEastAsia" w:eastAsiaTheme="minorEastAsia" w:cstheme="minorEastAsia"/>
                <w:color w:val="ff0000"/>
                <w:sz w:val="24"/>
                <w:szCs w:val="24"/>
                <w:lang w:bidi="ar"/>
              </w:rPr>
              <w:br/>
            </w:r>
            <w:r>
              <w:rPr>
                <w:rFonts w:hint="eastAsia" w:asciiTheme="minorEastAsia" w:hAnsiTheme="minorEastAsia" w:eastAsiaTheme="minorEastAsia" w:cstheme="minorEastAsia"/>
                <w:color w:val="000000"/>
                <w:sz w:val="24"/>
                <w:szCs w:val="24"/>
                <w:lang w:bidi="ar"/>
              </w:rPr>
              <w:t xml:space="preserve">二、软件授权：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≥100个国产网络版客户端授权</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三、功能要求：</w:t>
            </w:r>
            <w:r>
              <w:rPr>
                <w:rFonts w:hint="eastAsia" w:asciiTheme="minorEastAsia" w:hAnsiTheme="minorEastAsia" w:eastAsiaTheme="minorEastAsia" w:cstheme="minorEastAsia"/>
                <w:color w:val="000000"/>
                <w:sz w:val="24"/>
                <w:szCs w:val="24"/>
                <w:lang w:bidi="ar"/>
              </w:rPr>
              <w:br/>
            </w:r>
            <w:r>
              <w:rPr>
                <w:rFonts w:hint="eastAsia" w:asciiTheme="minorEastAsia" w:hAnsiTheme="minorEastAsia" w:eastAsiaTheme="minorEastAsia" w:cstheme="minorEastAsia"/>
                <w:color w:val="000000"/>
                <w:sz w:val="24"/>
                <w:szCs w:val="24"/>
                <w:lang w:bidi="ar"/>
              </w:rPr>
              <w:t xml:space="preserve">需支持对webshell后门进行扫描检测，webshell后门库数量大于100000；</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指挥中心恶意代码防范需支持系统加固，从系统文件保护、病毒免疫、进程保护、注册表保护、危险动作拦截、执行防护中至少3个维度对系统进行防护。</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clear="all"/>
      </w:r>
      <w:r/>
    </w:p>
    <w:p>
      <w:pP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ind w:firstLine="482"/>
        <w:rPr>
          <w:rFonts w:hint="eastAsia" w:asciiTheme="minorEastAsia" w:hAnsiTheme="minorEastAsia" w:eastAsiaTheme="minorEastAsia" w:cstheme="minorEastAsia"/>
          <w:b/>
          <w:color w:val="000000"/>
          <w:sz w:val="24"/>
          <w:szCs w:val="24"/>
        </w:rPr>
        <w:outlineLvl w:val="2"/>
      </w:pPr>
      <w:r>
        <w:rPr>
          <w:rFonts w:hint="eastAsia" w:asciiTheme="minorEastAsia" w:hAnsiTheme="minorEastAsia" w:eastAsiaTheme="minorEastAsia" w:cstheme="minorEastAsia"/>
          <w:b/>
          <w:color w:val="000000"/>
          <w:sz w:val="24"/>
          <w:szCs w:val="24"/>
        </w:rPr>
        <w:t xml:space="preserve">5.3其他类型采购清单</w:t>
      </w:r>
      <w:r/>
    </w:p>
    <w:tbl>
      <w:tblPr>
        <w:tblStyle w:val="1228"/>
        <w:tblW w:w="0" w:type="auto"/>
        <w:tblInd w:w="88" w:type="dxa"/>
        <w:tblLayout w:type="autofit"/>
        <w:tblCellMar>
          <w:left w:w="108" w:type="dxa"/>
          <w:top w:w="0" w:type="dxa"/>
          <w:right w:w="108" w:type="dxa"/>
          <w:bottom w:w="0" w:type="dxa"/>
        </w:tblCellMar>
        <w:tblLook w:val="04A0" w:firstRow="1" w:lastRow="0" w:firstColumn="1" w:lastColumn="0" w:noHBand="0" w:noVBand="1"/>
      </w:tblPr>
      <w:tblGrid>
        <w:gridCol w:w="698"/>
        <w:gridCol w:w="1526"/>
        <w:gridCol w:w="5580"/>
        <w:gridCol w:w="698"/>
        <w:gridCol w:w="698"/>
      </w:tblGrid>
      <w:tr>
        <w:trPr>
          <w:trHeight w:val="336"/>
        </w:trPr>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分项名称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性能指标</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单位</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安检门系统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考点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20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安检门考试服务费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本项目含试运行及正式服务期间安检门考试服务。</w:t>
            </w:r>
            <w:r/>
          </w:p>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每扇次的安检门考试服务：含安检门及配套手机存放柜、防雨遮阳棚、手持式金属探测器的仓储、运输、现场安装调试使用等技术服务，以及安检门系统日常保养和平台对接服务等。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中心视频存储服务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中心视频存储服务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本服务向市级进行采购。</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（1）视频存储服务：可用存储≥38T；重点考试（高考等）存储3年，普通考试存储6个月。</w:t>
            </w:r>
            <w:r/>
          </w:p>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sz w:val="24"/>
                <w:szCs w:val="24"/>
              </w:rPr>
              <w:t xml:space="preserve">（2）机房机柜服务：存储和智能行为分析等所需设备的机房机柜租赁费用。</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考试服务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考试保障服务（考点）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考试保障服务（考点），含设备检查调测、技术保障等。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SIM卡流量费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试卷运输期间产生的流量费。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独立链路服务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标考考点（学校）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专线费用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t xml:space="preserve">连通各个考点到租赁机房，每条支持双链路裸光纤，带宽不低于640M，双路由保证可用性。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区县指挥中心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专线费用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color w:val="000000"/>
                <w:sz w:val="24"/>
                <w:szCs w:val="24"/>
              </w:rPr>
              <w:t xml:space="preserve">连通市指挥中心到租赁机房，每条支持双链路裸光纤，带宽不低于1800M，双路由保证可用性。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施工辅材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color w:val="000000"/>
                <w:sz w:val="24"/>
                <w:szCs w:val="24"/>
                <w:lang w:bidi="ar"/>
              </w:rPr>
              <w:t xml:space="preserve">线材管材、辅材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网线、PVC管、管卡、弯头、胶水、钉子等线材管材、辅材及设备安装调试。含拆旧服务。（含1区县指挥中心）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套</w:t>
            </w:r>
            <w:r/>
          </w:p>
        </w:tc>
      </w:tr>
    </w:tbl>
    <w:p>
      <w:pPr>
        <w:ind w:firstLine="480"/>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1.为完成本项目，投标人除提供上面表格中所列的设备外，还应提供配套的软件、设备、线缆、辅材等</w:t>
      </w: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还应提供项目所需的安装、调试、培训及</w:t>
      </w:r>
      <w:r>
        <w:rPr>
          <w:rFonts w:hint="eastAsia" w:asciiTheme="minorEastAsia" w:hAnsiTheme="minorEastAsia" w:eastAsiaTheme="minorEastAsia" w:cstheme="minorEastAsia"/>
          <w:bCs/>
          <w:color w:val="ff0000"/>
          <w:sz w:val="24"/>
          <w:szCs w:val="24"/>
        </w:rPr>
        <w:t xml:space="preserve">售后</w:t>
      </w:r>
      <w:r>
        <w:rPr>
          <w:rFonts w:hint="eastAsia" w:asciiTheme="minorEastAsia" w:hAnsiTheme="minorEastAsia" w:eastAsiaTheme="minorEastAsia" w:cstheme="minorEastAsia"/>
          <w:bCs/>
          <w:color w:val="ff0000"/>
          <w:sz w:val="24"/>
          <w:szCs w:val="24"/>
          <w:lang w:val="en-US" w:eastAsia="zh-CN"/>
        </w:rPr>
        <w:t xml:space="preserve">运维</w:t>
      </w:r>
      <w:r>
        <w:rPr>
          <w:rFonts w:hint="eastAsia" w:asciiTheme="minorEastAsia" w:hAnsiTheme="minorEastAsia" w:eastAsiaTheme="minorEastAsia" w:cstheme="minorEastAsia"/>
          <w:bCs/>
          <w:color w:val="ff0000"/>
          <w:sz w:val="24"/>
          <w:szCs w:val="24"/>
        </w:rPr>
        <w:t xml:space="preserve">服务</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等。</w:t>
      </w:r>
      <w:r/>
    </w:p>
    <w:p>
      <w:pPr>
        <w:ind w:firstLine="480"/>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.为完成本项目，投标人必须考虑拆除各考点考场原有的标准化设备和线路。</w:t>
      </w:r>
      <w:r/>
    </w:p>
    <w:p>
      <w:pPr>
        <w:ind w:firstLine="480"/>
        <w:spacing w:line="36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bCs/>
          <w:sz w:val="24"/>
          <w:szCs w:val="24"/>
        </w:rPr>
        <w:t xml:space="preserve">注：</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依据财政部、发展改革委发布的《节能产品政府采购品目清单》，本项目中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依据国家市场监督管理总局发布的《强制性产品认证目录描述与界定》，属于强制性产品认证目录内产品，只能选择具有CCC认证证书的产品进行报价；本项目中信息安全产品，必须选择由中国信息安全认证中心（中国网络安全审查技术与认证中心）颁发认证证书的产品。</w:t>
      </w:r>
      <w:r/>
    </w:p>
    <w:p>
      <w:pPr>
        <w:pageBreakBefore w:val="0"/>
        <w:spacing w:line="24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4"/>
          <w:szCs w:val="24"/>
          <w:highlight w:val="none"/>
        </w:rPr>
        <w:t xml:space="preserve">三 、商务部分</w:t>
      </w:r>
      <w:r/>
    </w:p>
    <w:p>
      <w:pPr>
        <w:pStyle w:val="1226"/>
        <w:ind w:firstLine="480"/>
        <w:jc w:val="left"/>
        <w:pageBreakBefore w:val="0"/>
        <w:spacing w:line="24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项目背景</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无锡市锡山区教育考试标准化考点建设项目旨在通过全面升级与优化标准化考点建设，提升综合管理平台功能，强化底层平台信息化支撑能力，推动考试过程中各级考试机构信息贯通、共享，实现实时监测个体考试状态，全面掌控整体考试情况，加强考试决策分析和突发事件处理能力，进一步提高无锡锡山区教育考试管理与服务的专业化、规范化、精细化水平，推动我区教育考试治理体系和治理能力现代化进程，实现教育考试管理高质量发展。项目合同签订生效</w:t>
      </w:r>
      <w:r>
        <w:rPr>
          <w:rFonts w:hint="eastAsia" w:asciiTheme="minorEastAsia" w:hAnsiTheme="minorEastAsia" w:eastAsiaTheme="minorEastAsia" w:cstheme="minorEastAsia"/>
          <w:sz w:val="24"/>
          <w:szCs w:val="24"/>
        </w:rPr>
        <w:t xml:space="preserve">后90个日</w:t>
      </w:r>
      <w:r>
        <w:rPr>
          <w:rFonts w:hint="eastAsia" w:asciiTheme="minorEastAsia" w:hAnsiTheme="minorEastAsia" w:eastAsiaTheme="minorEastAsia" w:cstheme="minorEastAsia"/>
          <w:color w:val="000000"/>
          <w:sz w:val="24"/>
          <w:szCs w:val="24"/>
        </w:rPr>
        <w:t xml:space="preserve">历天建设完成、9个月试运行并完成终验，项目服务期：5年（终验后进入项目服务期）。</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无锡市锡山区教育考试标准化考点建设项目，是在深入贯彻《省教育厅省财政厅关于做好江苏省国家教育考试标准化考点升级建设工作的通知》（苏教考〔2017〕18号）、《江苏省“十四五”教育发展规划》（苏政办发〔2021〕115号）以及《教育部办公厅关于全面开展国家教育考试综合管理平台建设工作的通知》（教学厅函〔2021〕9号）等一系列政策文件的基础上，为构筑更加坚固的考试管理堡垒，坚决遏制并严厉打击任何形式的考试舞弊行为，确保考试招生的公平、公正、安全与秩序而精心筹划的。</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过无锡市锡山区标准化考点升级建设，提升综合管理平台功能，强化底层平台信息化支撑能力，推动考试过程中各级考试机构信息贯通、共享，实现实时监测个体考试状态，全面掌控整体考试情况，加强考试决策分析和突发事件处理能力，进一步提高无锡锡山区教育考试管理与服务的专业化、规范化、精细化水平，推动全区教育考试治理体系和治理能力现代化进程，实现教育考试管理高质量发展。</w:t>
      </w:r>
      <w:r/>
    </w:p>
    <w:p>
      <w:pPr>
        <w:pStyle w:val="1226"/>
        <w:ind w:firstLine="480"/>
        <w:jc w:val="left"/>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建设内容</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按照教育部最新要求，充分调研前沿科技发展新技术，结合无锡市及锡山区教育考试标准化考点系统的现状，本项目建设内容如下：</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建设1个锡山区级指挥中心，5个国家级考试标准化考点，共计453个国家级考试标准化考场。包含拆旧服务。项目包含网上巡查系统、身份认证系统、作弊防控系统、视频会议和考试指挥系统、试卷跟踪系统、考场实时分析系统、网络时钟系统、智能安检门系统、中心视频存储服务等系统和功能模块，采用专网连接构建省、市、区、考点四级平台。</w:t>
      </w:r>
      <w:r/>
    </w:p>
    <w:p>
      <w:pPr>
        <w:ind w:firstLine="56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本项目5个考点具体为：</w:t>
      </w:r>
      <w:r/>
    </w:p>
    <w:tbl>
      <w:tblPr>
        <w:tblStyle w:val="1228"/>
        <w:tblW w:w="4308" w:type="pct"/>
        <w:jc w:val="center"/>
        <w:tblLayout w:type="fixed"/>
        <w:tblCellMar>
          <w:left w:w="108" w:type="dxa"/>
          <w:top w:w="0" w:type="dxa"/>
          <w:right w:w="108" w:type="dxa"/>
          <w:bottom w:w="0" w:type="dxa"/>
        </w:tblCellMar>
        <w:tblLook w:val="04A0" w:firstRow="1" w:lastRow="0" w:firstColumn="1" w:lastColumn="0" w:noHBand="0" w:noVBand="1"/>
      </w:tblPr>
      <w:tblGrid>
        <w:gridCol w:w="579"/>
        <w:gridCol w:w="2325"/>
        <w:gridCol w:w="1406"/>
        <w:gridCol w:w="975"/>
        <w:gridCol w:w="989"/>
        <w:gridCol w:w="1730"/>
      </w:tblGrid>
      <w:tr>
        <w:trPr>
          <w:jc w:val="center"/>
          <w:trHeight w:val="79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考点</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考场数</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笔试考场数</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计算机考场数</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b/>
                <w:bCs/>
                <w:color w:val="000000"/>
                <w:sz w:val="24"/>
                <w:szCs w:val="24"/>
                <w:lang w:bidi="ar"/>
              </w:rPr>
            </w:pPr>
            <w:r>
              <w:rPr>
                <w:rFonts w:hint="eastAsia" w:asciiTheme="minorEastAsia" w:hAnsiTheme="minorEastAsia" w:eastAsiaTheme="minorEastAsia" w:cstheme="minorEastAsia"/>
                <w:b/>
                <w:bCs/>
                <w:color w:val="000000"/>
                <w:sz w:val="24"/>
                <w:szCs w:val="24"/>
                <w:lang w:bidi="ar"/>
              </w:rPr>
              <w:t xml:space="preserve">考点分类</w:t>
            </w:r>
            <w:r/>
          </w:p>
        </w:tc>
      </w:tr>
      <w:tr>
        <w:trPr>
          <w:jc w:val="center"/>
          <w:trHeight w:val="343"/>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1265"/>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江苏省天一中学</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156</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国家级考试（高考考点）</w:t>
            </w:r>
            <w:r/>
          </w:p>
        </w:tc>
      </w:tr>
      <w:tr>
        <w:trPr>
          <w:jc w:val="center"/>
          <w:trHeight w:val="433"/>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1265"/>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江苏省天一中学宛山湖分校</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国家级考试（高考考点）</w:t>
            </w:r>
            <w:r/>
          </w:p>
        </w:tc>
      </w:tr>
      <w:tr>
        <w:trPr>
          <w:jc w:val="center"/>
          <w:trHeight w:val="433"/>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1265"/>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无锡市天一实验学校（文景）</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国家级考试</w:t>
            </w:r>
            <w:r/>
          </w:p>
        </w:tc>
      </w:tr>
      <w:tr>
        <w:trPr>
          <w:jc w:val="center"/>
          <w:trHeight w:val="433"/>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1265"/>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江苏省锡山中等专业学校</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国家级考试</w:t>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pStyle w:val="1265"/>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51"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无锡市二泉中学</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国家级考试</w:t>
            </w:r>
            <w:r/>
          </w:p>
        </w:tc>
      </w:tr>
    </w:tbl>
    <w:p>
      <w:pP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拟派项目负责人1名具备中级工程师（通信工程专业）职称证书；拟派项目技术负责人1名负责现场技术调试及现场服务调度。除项目负责人和项目技术负责人外，还须配备至少8名项目实施人员负责项目的施工、维护、服务、售后等工作。项目总体人员不少于10人。</w:t>
      </w:r>
      <w:r/>
    </w:p>
    <w:p>
      <w:pPr>
        <w:pStyle w:val="1226"/>
        <w:ind w:firstLine="480"/>
        <w:jc w:val="left"/>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建设目标</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通过无锡市锡山区标准化考点升级建设，</w:t>
      </w:r>
      <w:r>
        <w:rPr>
          <w:rFonts w:hint="eastAsia" w:asciiTheme="minorEastAsia" w:hAnsiTheme="minorEastAsia" w:eastAsiaTheme="minorEastAsia" w:cstheme="minorEastAsia"/>
          <w:sz w:val="24"/>
          <w:szCs w:val="24"/>
        </w:rPr>
        <w:t xml:space="preserve">构建一个高度智能化、集成化、安全化的教育考试管理体系。以先进的信息化技术为支撑，打造全方位、多层次、立体化的考试安全防护网，确保各类教育考试公平、公正、安全、有序进行，为无锡市锡山区教育事业的健康发展提供坚实保障，同时配合提升无锡市在全国教育考试管理领域的示范引领作用。</w:t>
      </w:r>
      <w:r/>
    </w:p>
    <w:p>
      <w:pPr>
        <w:pStyle w:val="1226"/>
        <w:ind w:firstLine="480"/>
        <w:jc w:val="left"/>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、建设原则</w:t>
      </w:r>
      <w:r/>
    </w:p>
    <w:p>
      <w:pPr>
        <w:pStyle w:val="1264"/>
        <w:ind w:firstLine="482"/>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1.高起点、高要求</w:t>
      </w:r>
      <w:r/>
    </w:p>
    <w:p>
      <w:pPr>
        <w:ind w:firstLine="42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项目的建设需要遵循高起点、高要求的原则，充分考虑系统的稳定性、可靠性和安全性，确保平台能够满足管理需求。</w:t>
      </w:r>
      <w:r/>
    </w:p>
    <w:p>
      <w:pPr>
        <w:pStyle w:val="1264"/>
        <w:ind w:firstLine="482"/>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2.先进性原则</w:t>
      </w:r>
      <w:r/>
    </w:p>
    <w:p>
      <w:pPr>
        <w:ind w:firstLine="42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项目需要采用先进的技术和理念，引进国内先进的技术和产品，确保平台能够具有较高的技术水平和竞争力。</w:t>
      </w:r>
      <w:r/>
    </w:p>
    <w:p>
      <w:pPr>
        <w:pStyle w:val="1264"/>
        <w:ind w:firstLine="482"/>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3.可持续发展原则</w:t>
      </w:r>
      <w:r/>
    </w:p>
    <w:p>
      <w:pPr>
        <w:ind w:firstLine="42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项目的建设需要坚持可持续发展的原则，充分考虑平台的长期运营和维护，确保平台能够持续、稳定、安全地运行。</w:t>
      </w:r>
      <w:r/>
    </w:p>
    <w:p>
      <w:pPr>
        <w:pStyle w:val="1264"/>
        <w:ind w:firstLine="482"/>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4.安全性原则</w:t>
      </w:r>
      <w:r/>
    </w:p>
    <w:p>
      <w:pPr>
        <w:ind w:firstLine="42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项目的建设需要高度重视安全性，采取严格的安全措施和防范措施，确保平台的数据和信息不会被泄露或者遭受攻击。</w:t>
      </w:r>
      <w:r/>
    </w:p>
    <w:p>
      <w:pPr>
        <w:pStyle w:val="1264"/>
        <w:ind w:firstLine="482"/>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5.经济性原则</w:t>
      </w:r>
      <w:r/>
    </w:p>
    <w:p>
      <w:pPr>
        <w:ind w:firstLine="480"/>
        <w:pageBreakBefore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项目的建设需要充分考虑经济性，合理配置资源和投入成本，确保平台的建设和运营能够为政府监管部门带来最大化的效益。</w:t>
      </w:r>
      <w:r/>
    </w:p>
    <w:p>
      <w:pPr>
        <w:ind w:firstLine="48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226"/>
        <w:jc w:val="left"/>
        <w:spacing w:line="360" w:lineRule="auto"/>
        <w:rPr>
          <w:rFonts w:hint="eastAsia" w:asciiTheme="minorEastAsia" w:hAnsiTheme="minorEastAsia" w:eastAsiaTheme="minorEastAsia" w:cstheme="minorEastAsia"/>
          <w:color w:val="000000"/>
          <w:sz w:val="24"/>
          <w:szCs w:val="24"/>
        </w:rPr>
      </w:pPr>
      <w:r>
        <w:rPr>
          <w:rFonts w:hint="eastAsia" w:ascii="宋体" w:hAnsi="宋体" w:eastAsia="宋体" w:cs="宋体"/>
          <w:b/>
          <w:bCs/>
          <w:sz w:val="24"/>
          <w:szCs w:val="24"/>
          <w:lang w:val="en-US" w:eastAsia="zh-CN"/>
        </w:rPr>
        <w:t xml:space="preserve">四、</w:t>
      </w:r>
      <w:r>
        <w:rPr>
          <w:rFonts w:hint="eastAsia" w:asciiTheme="minorEastAsia" w:hAnsiTheme="minorEastAsia" w:eastAsiaTheme="minorEastAsia" w:cstheme="minorEastAsia"/>
          <w:color w:val="000000"/>
          <w:sz w:val="24"/>
          <w:szCs w:val="24"/>
        </w:rPr>
        <w:t xml:space="preserve">其他技术要求和功能要求</w:t>
      </w:r>
      <w:r/>
    </w:p>
    <w:p>
      <w:pPr>
        <w:ind w:firstLine="482"/>
        <w:jc w:val="left"/>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lang w:val="en-US" w:eastAsia="zh-CN"/>
        </w:rPr>
        <w:t xml:space="preserve">4</w:t>
      </w:r>
      <w:r>
        <w:rPr>
          <w:rFonts w:hint="eastAsia" w:asciiTheme="minorEastAsia" w:hAnsiTheme="minorEastAsia" w:eastAsiaTheme="minorEastAsia" w:cstheme="minorEastAsia"/>
          <w:b/>
          <w:bCs/>
          <w:color w:val="000000"/>
          <w:sz w:val="24"/>
          <w:szCs w:val="24"/>
        </w:rPr>
        <w:t xml:space="preserve">.1软硬件选型要求</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（1）按照锡委办发〔2022〕67号、锡安办字〔2024〕2号文件要求，在项目建设中全面采用信创技术和产品；</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（2）项目整体选择符合国产标准的软硬件产品，保障信息系统的安全；</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（3）通用设备（如巡查管理电脑、身份认证服务器、市级视频集中存储平台）和核心专用设备（如SIP服务器、媒体分发服务器），自带所需操作系统和数据库，且所用CPU、操作系统和数据库满足国产信创要求。</w:t>
      </w:r>
      <w:r/>
    </w:p>
    <w:p>
      <w:pPr>
        <w:ind w:firstLine="482"/>
        <w:jc w:val="left"/>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lang w:val="en-US" w:eastAsia="zh-CN"/>
        </w:rPr>
        <w:t xml:space="preserve">4</w:t>
      </w:r>
      <w:r>
        <w:rPr>
          <w:rFonts w:hint="eastAsia" w:asciiTheme="minorEastAsia" w:hAnsiTheme="minorEastAsia" w:eastAsiaTheme="minorEastAsia" w:cstheme="minorEastAsia"/>
          <w:b/>
          <w:bCs/>
          <w:color w:val="000000"/>
          <w:sz w:val="24"/>
          <w:szCs w:val="24"/>
        </w:rPr>
        <w:t xml:space="preserve">.2项目所需执行的相关标准及规范</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本项目执行国家、部委标准，执行国家考试院和省考试院有关标准和规定。中标人应参照教育部门的标准制定本项目的标准技术规范，构建本项目的标准体系。</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《国家教育考试网上巡查系统视频标准技术规范（2017版）》</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《国家教育考试综合管理平台建设指南（2017）》</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《公共安全视频监控联网系统信息传输、交换、控制技术要求》GB∕T28181-2022</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《电子考场系统通用要求》GB/T 36449-2018</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《信息安全技术信息系统安全等级保护实施指南》（GB/T25058-2019)</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《安全防范工程技术标准》GB 50348-2018</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《安全防范工程通用规范》GB 55029-2022</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《视频安防监控系统工程设计规范》GB 50395-2007</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《入侵报警系统工程设计规范》GB 50394-2007</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《安全防范系统验收规则》GA308-2001</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《IP网络技术要求网络性能参数与指标》（YD/T1171-2015)</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《电磁环境控制限值》（GB8702-2014)</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《综合布线系统工程设计规范》GB50311-2016</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《计算机信息系统安全保护等级划分准则》（GB 17859-1999）</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《计算机场地安全要求》（GB/T 9361-2006）</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 信息系统通用安全技术要求》（GB/T 20271-2006）</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 信息系统安全管理要求》（GB/T 20269-2006）</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《信息安全风险评估规范》（GB/T 20984-2007）</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 网络安全等级保护定级指南》GB/T 22240-2020</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《网络安全技术 信息安全管理体系 要求》GB/T 22080-2025</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《信息技术 安全技术 信息安全管理实用准则》（GB/T 22081-2018（idt ISO/IEC 27002:2013））</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《网络安全等级保护测评过程指南》（GB/T28449-2018）</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 网络安全等级保护基本要求》（GB/T22239-2019）</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《信息安全技术 网络安全等级保护安全设计要求》（GB/T25070-2019）</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《网络安全等级保护测评要求》（GBT28448-2019）</w:t>
      </w:r>
      <w:r/>
    </w:p>
    <w:p>
      <w:p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项目所采购的产品应具备良好的使用安全可靠性，避免发生安全隐患。</w:t>
      </w:r>
      <w:r/>
    </w:p>
    <w:p>
      <w:pPr>
        <w:ind w:firstLine="482"/>
        <w:jc w:val="left"/>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lang w:val="en-US" w:eastAsia="zh-CN"/>
        </w:rPr>
        <w:t xml:space="preserve">4</w:t>
      </w:r>
      <w:r>
        <w:rPr>
          <w:rFonts w:hint="eastAsia" w:asciiTheme="minorEastAsia" w:hAnsiTheme="minorEastAsia" w:eastAsiaTheme="minorEastAsia" w:cstheme="minorEastAsia"/>
          <w:b/>
          <w:bCs/>
          <w:color w:val="000000"/>
          <w:sz w:val="24"/>
          <w:szCs w:val="24"/>
        </w:rPr>
        <w:t xml:space="preserve">.3各业务系统功能及服务要求</w:t>
      </w:r>
      <w:r/>
    </w:p>
    <w:p>
      <w:pPr>
        <w:numPr>
          <w:ilvl w:val="1"/>
          <w:numId w:val="0"/>
        </w:numPr>
        <w:ind w:left="426"/>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（1）网上巡查服务</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互联互通与基础监控：与省、市级指挥平台及现有考点系统互联互通，支持按指定设备、通道实时点播巡查音视频流，具备图像抓拍功能，实现考试场景的可视化监控。</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音视频管理与回溯：支持按设备、通道、时间、报警信息检索回放历史音视频；具备音视频实时流双向编解码能力，满足复核需求；可预设录像转存计划，按日期、时段、考场批量转存，适配MP4等格式，文件命名规范，支持自动向上级传输并实时跟踪，数据直传上级考务中台。</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报警联动与设备控制：具备报警联动接口，报警时切换对应音视频及信息并记录，特定点支持视频移动侦测，可联动其他业务系统；支持手动/自动遥控前端设备，设定控制优先级，保障高权限请求优先响应。</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用户与权限管理：对接入用户授权认证，可分级独立或集中管控操作、数据访问及程序使用权限；支持用户对前端设备的独占控制锁定与解锁，规范操作边界。</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系统运维与设备管理：监测管理系统设备、网络及服务器运行状态，实现巡查设备时钟同步；提供智能运维，考点采集上传设备数据，上级汇总展示，实时监控设备并告警，辅助运维管理。</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安全与规范保障：落实身份认证、设备认证、接入传输安全及音视频防篡改措施，保障信息安全；遵循统一命名规则，对设备、用户及各级考试机构编码，编码按层级规范定义与上传。</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SIP多级注册：3-5级联网，支持路由跳转，故障时自动切换注册。</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联网拓展与融合应用：SIP服务器支持多级注册及路由跳转，构建3-5级可扩展联网体系，保障各级SIP路由器稳定运行；复用校园安防摄像机监控试卷流转通道，避免重复建设，实现考安融合；与省平台互联互通，按国标或SIP协议上传考点基础数据。</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国产化适配：硬件核心芯片实现国产化替代，软件支持国产操作系统及国产电脑安装应用。</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要求考场摄像机安装到指定位置，监控全覆盖、无死角。</w:t>
      </w:r>
      <w:r/>
    </w:p>
    <w:p>
      <w:pPr>
        <w:pStyle w:val="1266"/>
        <w:numPr>
          <w:ilvl w:val="0"/>
          <w:numId w:val="8"/>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负责包括高清摄像机、网上巡查核心设备（如SIP服务器、解码器、媒体分发单元、NVR存储、音视频矩阵等功能，可集成于一体化设备或由多台独立设备协同实现）的联调工作，确保所有设备正常工作。</w:t>
      </w:r>
      <w:r/>
    </w:p>
    <w:p>
      <w:pPr>
        <w:pStyle w:val="1266"/>
        <w:numPr>
          <w:ilvl w:val="0"/>
          <w:numId w:val="8"/>
        </w:numPr>
        <w:ind w:firstLine="480"/>
        <w:spacing w:line="400" w:lineRule="exact"/>
        <w:rPr>
          <w:rFonts w:hint="eastAsia" w:asciiTheme="minorEastAsia" w:hAnsiTheme="minorEastAsia" w:eastAsiaTheme="minorEastAsia" w:cstheme="minorEastAsia"/>
          <w:b w:val="0"/>
          <w:color w:val="000000"/>
          <w:sz w:val="24"/>
          <w:szCs w:val="24"/>
        </w:rPr>
      </w:pPr>
      <w:r>
        <w:rPr>
          <w:rFonts w:hint="eastAsia" w:asciiTheme="minorEastAsia" w:hAnsiTheme="minorEastAsia" w:eastAsiaTheme="minorEastAsia" w:cstheme="minorEastAsia"/>
          <w:b w:val="0"/>
          <w:bCs w:val="0"/>
          <w:color w:val="000000"/>
          <w:sz w:val="24"/>
          <w:szCs w:val="24"/>
        </w:rPr>
        <w:t xml:space="preserve">管理平台软件能有效管理本机构和所辖标准化考点网上巡查系统的核心设备（编码设备、SIP服务器和媒体分发服务器、解码设备、摄像机</w:t>
      </w:r>
      <w:r>
        <w:rPr>
          <w:rFonts w:hint="eastAsia" w:asciiTheme="minorEastAsia" w:hAnsiTheme="minorEastAsia" w:eastAsiaTheme="minorEastAsia" w:cstheme="minorEastAsia"/>
          <w:b w:val="0"/>
          <w:color w:val="000000"/>
          <w:sz w:val="24"/>
          <w:szCs w:val="24"/>
        </w:rPr>
        <w:t xml:space="preserve">等）。</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（2）身份认证服务</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优化身份认证流程，采用生物识别技术和身份认证相结合的方式，准确验证考生身份，按部省要求上传数据。</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信息采集与验证：依托终端设备采集考生身份信息及生物特征（人脸），支持读取身份证，实现现场人脸比对；人脸验证数据支持离线或在线上传，保障高效完成认证。</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考务信息管理：实时显示考生姓名、性别、身份证号、照片、考点等考试信息；支持考生管理、缺考管理、人工审核、异常管理，全面管控考试流程。</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数据交互与处理：与报名系统数据对接，自动生成身份识别信息数据库；按考点打包下载考生考试信息，支持采集、验证数据的查询与统计，实现数据高效流转。</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轨迹追踪与溯源：完整记录考生验证轨迹，可对异常考生进行溯源追踪，精准定位问题，保障考试公平与秩序。</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结果输出与备份：自动比对现场采集与数据中心原始数据，输出比对结果并生成报表；批量上传采集及验证结果至数据中心，自动存储备份，确保数据安全。</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做好考务通终端设备的联调服务，确保所有设备都能正常工作。</w:t>
      </w:r>
      <w:r/>
    </w:p>
    <w:p>
      <w:pPr>
        <w:pStyle w:val="1266"/>
        <w:numPr>
          <w:ilvl w:val="0"/>
          <w:numId w:val="9"/>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考务通终端设备通过有线网络将考生验证、缺考、违纪等数据传输到中心平台。</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（3）作弊防控服务</w:t>
      </w:r>
      <w:r/>
    </w:p>
    <w:p>
      <w:pPr>
        <w:pStyle w:val="1266"/>
        <w:numPr>
          <w:ilvl w:val="0"/>
          <w:numId w:val="10"/>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全面信号屏蔽：可屏蔽教室内各大运营商的2G、3G、4G、5G手机信号，以及Wi-Fi、蓝牙等无线信号，同时支持增改、定制、扩展其他信号种类，实现全面有效的无线电防控，有效阻止作弊行为，维护考试公平。</w:t>
      </w:r>
      <w:r/>
    </w:p>
    <w:p>
      <w:pPr>
        <w:pStyle w:val="1266"/>
        <w:numPr>
          <w:ilvl w:val="0"/>
          <w:numId w:val="10"/>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合规与性能保障：电磁辐射控制符合《电磁环境控制限值》（GB8702-2014）规定，考场内设备噪声≤40dB，配备精密稳压电路，保障设备稳定运行；预留6G模块升级接口，提供6G屏蔽模块扩容升级服务，适配技术迭代。</w:t>
      </w:r>
      <w:r/>
    </w:p>
    <w:p>
      <w:pPr>
        <w:pStyle w:val="1266"/>
        <w:numPr>
          <w:ilvl w:val="0"/>
          <w:numId w:val="10"/>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设备集中管控：支持对所辖全频段屏蔽终端进行集中管理，实时控制全部终端的工作状态，实时查看终端运行状态及关键信息，保障设备高效协同运作。</w:t>
      </w:r>
      <w:r/>
    </w:p>
    <w:p>
      <w:pPr>
        <w:pStyle w:val="1266"/>
        <w:numPr>
          <w:ilvl w:val="0"/>
          <w:numId w:val="10"/>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负责包括管理服务器、屏蔽终端等设备的联调，确保所有设备都能正常工作。</w:t>
      </w:r>
      <w:r/>
    </w:p>
    <w:p>
      <w:pPr>
        <w:pStyle w:val="1266"/>
        <w:numPr>
          <w:ilvl w:val="0"/>
          <w:numId w:val="10"/>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屏蔽终端通过网络连接到主控中心，电源集中供电模式统一管理，每个教室部署1台屏蔽终端，考点主控室布置1台管理服务器。</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（4）视频会议和考试指挥服务</w:t>
      </w:r>
      <w:r/>
    </w:p>
    <w:p>
      <w:pPr>
        <w:pStyle w:val="1266"/>
        <w:numPr>
          <w:ilvl w:val="0"/>
          <w:numId w:val="11"/>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按统一技术标准接入省、市教育考试视频会议和考试指挥系统，实现高效的信息传达和考试指挥，提升管理效率。</w:t>
      </w:r>
      <w:r/>
    </w:p>
    <w:p>
      <w:pPr>
        <w:pStyle w:val="1266"/>
        <w:numPr>
          <w:ilvl w:val="0"/>
          <w:numId w:val="11"/>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负责包括高清视频会议终端、MCU、高清摄像机等设备的联调，确保所有设备都能正常工作。</w:t>
      </w:r>
      <w:r/>
    </w:p>
    <w:p>
      <w:pPr>
        <w:pStyle w:val="1266"/>
        <w:numPr>
          <w:ilvl w:val="0"/>
          <w:numId w:val="11"/>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满足多级会议管理模式，具备分级权限，能与原有省、市、县平台MCU、终端互联互通。</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（5）试卷跟踪服务</w:t>
      </w:r>
      <w:r/>
    </w:p>
    <w:p>
      <w:pPr>
        <w:pStyle w:val="1266"/>
        <w:numPr>
          <w:ilvl w:val="0"/>
          <w:numId w:val="12"/>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互联传输：对接省级平台，实现视音频采集编码、本地存储，依托4G/5G及卫星定位实时回传数据。</w:t>
      </w:r>
      <w:r/>
    </w:p>
    <w:p>
      <w:pPr>
        <w:pStyle w:val="1266"/>
        <w:numPr>
          <w:ilvl w:val="0"/>
          <w:numId w:val="12"/>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视音频采集：适配≥2路摄像机，内置麦克风，支持音频采集与本地存储。</w:t>
      </w:r>
      <w:r/>
    </w:p>
    <w:p>
      <w:pPr>
        <w:pStyle w:val="1266"/>
        <w:numPr>
          <w:ilvl w:val="0"/>
          <w:numId w:val="12"/>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定位通信：集成全网通、北斗模块，精准定位并实时传输视频与位置信息。</w:t>
      </w:r>
      <w:r/>
    </w:p>
    <w:p>
      <w:pPr>
        <w:pStyle w:val="1266"/>
        <w:numPr>
          <w:ilvl w:val="0"/>
          <w:numId w:val="12"/>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供电拆装：移动电源续航≥12小时，支持无损快速拆装。</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（6）考场实时分析服务</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智能合规分析：依托AI算法，智能识别考生、监考员动作合规性，辅助高效监考。</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数据可视化：总览考试信息、异常预警及分析统计，实时呈现异常行为数量、时间分布等，助力快速决策。</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考试任务管理：支持考试任务、场次管理，覆盖实时与录像分析任务。</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异常行为审核：支持实时、录像分析场景下，对异常行为人工标记、审核，展示视频图片并统计审核情况。</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分析结果管理：查看行为分析结果，按考场、场次、处理状态及条件筛选；支持详情查看，掌握分析与审核数据。</w:t>
      </w:r>
      <w:r/>
    </w:p>
    <w:p>
      <w:pPr>
        <w:pStyle w:val="1266"/>
        <w:numPr>
          <w:ilvl w:val="0"/>
          <w:numId w:val="13"/>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考试统计导出：统计异常行为总数、各考场监考员及考生异常情况，按需导出考情报表。</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（7）网络时钟服务</w:t>
      </w:r>
      <w:r/>
    </w:p>
    <w:p>
      <w:pPr>
        <w:pStyle w:val="1266"/>
        <w:numPr>
          <w:ilvl w:val="0"/>
          <w:numId w:val="14"/>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卫星同步时钟：采用北斗系统，可从北斗卫星上获取标准的时间信号，对设备时间进行调节，使输出时间与北斗系统同步，作为系统的标准时间源。</w:t>
      </w:r>
      <w:r/>
    </w:p>
    <w:p>
      <w:pPr>
        <w:pStyle w:val="1266"/>
        <w:numPr>
          <w:ilvl w:val="0"/>
          <w:numId w:val="14"/>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NTP网络授时：在标准化考点网络时钟系统中，NTP提供准确时间，其时间来源是北斗卫星，为整个系统提供准确可靠的时间源，对局域网络内具有时钟的设备进行时钟同步，使网络内设备的时钟保持一致。</w:t>
      </w:r>
      <w:r/>
    </w:p>
    <w:p>
      <w:pPr>
        <w:pStyle w:val="1266"/>
        <w:numPr>
          <w:ilvl w:val="0"/>
          <w:numId w:val="14"/>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高精度自守时：当卫星失锁或在传输过程中数据丢包，仍可为局域网络内具有时钟的设备提供时钟同步服务。</w:t>
      </w:r>
      <w:r/>
    </w:p>
    <w:p>
      <w:pPr>
        <w:pStyle w:val="1266"/>
        <w:numPr>
          <w:ilvl w:val="0"/>
          <w:numId w:val="14"/>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网络时钟管理：管理软件可对时钟进行管理，支持批量搜索和添加设备，自动检测局域网内所有网络时钟，以列表形式进行展示，支持修改时钟IP地址、设置授时服务器IP地址、设置时间同步周期、查询电子时钟物理参数、通信状态、授时状态和显示状态。</w:t>
      </w:r>
      <w:r/>
    </w:p>
    <w:p>
      <w:pPr>
        <w:pStyle w:val="1266"/>
        <w:numPr>
          <w:ilvl w:val="0"/>
          <w:numId w:val="14"/>
        </w:numPr>
        <w:ind w:firstLine="480"/>
        <w:spacing w:line="40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val="0"/>
          <w:bCs w:val="0"/>
          <w:color w:val="000000"/>
          <w:sz w:val="24"/>
          <w:szCs w:val="24"/>
        </w:rPr>
        <w:t xml:space="preserve">网络时钟：网络时钟采用数码管显示时间信息，可显示时、分信息；具有RJ45以太网接口，支持NTP协议，可与时钟同步服务器校时。</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（8）智能安检服务</w:t>
      </w:r>
      <w:r/>
    </w:p>
    <w:p>
      <w:pPr>
        <w:pStyle w:val="1266"/>
        <w:numPr>
          <w:ilvl w:val="0"/>
          <w:numId w:val="15"/>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违禁品检测：可排除日常贴身金属干扰，精准探测智能手机（含关机、拔卡等状态）、智能眼镜、智能手表手环、蓝牙耳机等考试违禁物品，触发声光报警并标注藏匿位置。</w:t>
      </w:r>
      <w:r/>
    </w:p>
    <w:p>
      <w:pPr>
        <w:pStyle w:val="1266"/>
        <w:numPr>
          <w:ilvl w:val="0"/>
          <w:numId w:val="15"/>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合规与安全运行：电磁辐射符合GB 15210-2018国家标准，配备精密稳压电路，保障设备稳定合规运行。</w:t>
      </w:r>
      <w:r/>
    </w:p>
    <w:p>
      <w:pPr>
        <w:pStyle w:val="1266"/>
        <w:numPr>
          <w:ilvl w:val="0"/>
          <w:numId w:val="15"/>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智能报警与显示：前后双屏搭配高亮LED灯条，双向显示报警区域及信息，直观提示异常位置。</w:t>
      </w:r>
      <w:r/>
    </w:p>
    <w:p>
      <w:pPr>
        <w:pStyle w:val="1266"/>
        <w:numPr>
          <w:ilvl w:val="0"/>
          <w:numId w:val="15"/>
        </w:numPr>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本地化运维管理：支持现场人员自主完成参数设置与调试，实现设备本地化维护，保障使用便捷性。</w:t>
      </w:r>
      <w:r/>
    </w:p>
    <w:p>
      <w:pPr>
        <w:numPr>
          <w:ilvl w:val="0"/>
          <w:numId w:val="15"/>
        </w:numPr>
        <w:ind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根据考试院下达的考试计划，还需提供以下服务：</w:t>
      </w:r>
      <w:r/>
    </w:p>
    <w:p>
      <w:pPr>
        <w:numPr>
          <w:ilvl w:val="1"/>
          <w:numId w:val="15"/>
        </w:numPr>
        <w:ind w:left="0"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安检门、金属探测仪、手机存放柜和雨棚的集中仓储和日常保养；</w:t>
      </w:r>
      <w:r/>
    </w:p>
    <w:p>
      <w:pPr>
        <w:numPr>
          <w:ilvl w:val="1"/>
          <w:numId w:val="15"/>
        </w:numPr>
        <w:ind w:left="0"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相关设备按考试计划要求运输到各指定考点；</w:t>
      </w:r>
      <w:r/>
    </w:p>
    <w:p>
      <w:pPr>
        <w:numPr>
          <w:ilvl w:val="1"/>
          <w:numId w:val="15"/>
        </w:numPr>
        <w:ind w:left="0"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检门、金属探测仪在考点现场完成安装调测、数据配置、模拟演练。考试当天现场技术支持，对触发报警的考生进行人工安检确认，通过手持金属探测器对触发报警的考生进行全面检查，防止考生将违禁物品带进考点；</w:t>
      </w:r>
      <w:r/>
    </w:p>
    <w:p>
      <w:pPr>
        <w:numPr>
          <w:ilvl w:val="1"/>
          <w:numId w:val="15"/>
        </w:numPr>
        <w:ind w:left="0"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手机存放柜和雨棚在考点现场完成安装部署和管理；</w:t>
      </w:r>
      <w:r/>
    </w:p>
    <w:p>
      <w:pPr>
        <w:numPr>
          <w:ilvl w:val="1"/>
          <w:numId w:val="15"/>
        </w:numPr>
        <w:ind w:left="0" w:firstLine="480"/>
        <w:spacing w:line="57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考试结束后相关设备拆除回收到集中仓储点。</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（9）视频集中存储服务</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满足各类考试监控视频集中在市指挥中心安全存储保存，可用存储规模≥38T。</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（10）专网线路租赁</w:t>
      </w:r>
      <w:r/>
    </w:p>
    <w:p>
      <w:pPr>
        <w:pStyle w:val="1266"/>
        <w:numPr>
          <w:ilvl w:val="0"/>
          <w:numId w:val="16"/>
        </w:numPr>
        <w:ind w:firstLine="480"/>
        <w:spacing w:line="400" w:lineRule="exact"/>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专线服务：提供高性能、高可靠、高安全的裸光纤专线服务，定期巡检，并建立完善的质量保证与应急响应体系。</w:t>
      </w:r>
      <w:r/>
    </w:p>
    <w:p>
      <w:pPr>
        <w:pStyle w:val="1266"/>
        <w:numPr>
          <w:ilvl w:val="0"/>
          <w:numId w:val="16"/>
        </w:numPr>
        <w:ind w:firstLine="480"/>
        <w:spacing w:line="400" w:lineRule="exact"/>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专线参数：提供纯物理透明的裸光纤资源，单链路双芯，万兆链路优先调配核心层、汇聚层光缆，千兆链路优先调配汇聚层光缆，确保网络协议与带宽的完全自主可控，高考等重点考试按需开通双链路保障。</w:t>
      </w:r>
      <w:r/>
    </w:p>
    <w:p>
      <w:pPr>
        <w:pStyle w:val="1266"/>
        <w:numPr>
          <w:ilvl w:val="0"/>
          <w:numId w:val="16"/>
        </w:numPr>
        <w:ind w:firstLine="480"/>
        <w:spacing w:line="400" w:lineRule="exact"/>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故障响应：30分钟内响应并开始故障定位，4小时内恢复业务（因不可抗力或无法进入第三方场所等特殊情况除外）。如考试期间出现故障，立即切换备用链路恢复业务，同步安排4小时内修复故障裸光纤。</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（11）拆旧服务</w:t>
      </w:r>
      <w:r/>
    </w:p>
    <w:p>
      <w:pPr>
        <w:pStyle w:val="1266"/>
        <w:spacing w:line="400" w:lineRule="exact"/>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提供原有考试指挥中心和标准化考点相关设施设备的拆旧服务。</w:t>
      </w:r>
      <w:r/>
    </w:p>
    <w:p>
      <w:pPr>
        <w:numPr>
          <w:ilvl w:val="1"/>
          <w:numId w:val="0"/>
        </w:numPr>
        <w:ind w:firstLine="480"/>
        <w:spacing w:line="400" w:lineRule="exact"/>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（12）安全配套服务</w:t>
      </w:r>
      <w:r/>
    </w:p>
    <w:p>
      <w:pPr>
        <w:ind w:left="420" w:firstLine="42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基于国家及江苏省对教育信息安全建设的要求，等级保护是已经确立的持续长久的非涉密信息系统信息安全建设的根本方法，结合高清网上巡查系统及江苏省国家教育考试标准化考点综合管理平台建设要求，根据《国家教育考试网上巡查系统技术规范标准（2017版）》要求，锡山区指挥中心等保要求定级为二级。投标单位应当协助建设单位完成网络、等级保护的规划及实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jc w:val="left"/>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lang w:val="en-US" w:eastAsia="zh-CN"/>
        </w:rPr>
        <w:t xml:space="preserve">4</w:t>
      </w:r>
      <w:r>
        <w:rPr>
          <w:rFonts w:hint="eastAsia" w:asciiTheme="minorEastAsia" w:hAnsiTheme="minorEastAsia" w:eastAsiaTheme="minorEastAsia" w:cstheme="minorEastAsia"/>
          <w:b/>
          <w:bCs/>
          <w:color w:val="000000"/>
          <w:sz w:val="24"/>
          <w:szCs w:val="24"/>
        </w:rPr>
        <w:t xml:space="preserve">.4项目整体服务要求</w:t>
      </w:r>
      <w:r/>
    </w:p>
    <w:p>
      <w:pPr>
        <w:spacing w:line="400" w:lineRule="exact"/>
        <w:rPr>
          <w:rFonts w:hint="eastAsia" w:asciiTheme="minorEastAsia" w:hAnsiTheme="minorEastAsia" w:eastAsiaTheme="minorEastAsia" w:cstheme="minorEastAsia"/>
          <w:b/>
          <w:bCs/>
          <w:color w:val="000000"/>
          <w:sz w:val="24"/>
          <w:szCs w:val="24"/>
        </w:rPr>
        <w:outlineLvl w:val="3"/>
      </w:pPr>
      <w:r>
        <w:rPr>
          <w:rFonts w:hint="eastAsia" w:asciiTheme="minorEastAsia" w:hAnsiTheme="minorEastAsia" w:eastAsiaTheme="minorEastAsia" w:cstheme="minorEastAsia"/>
          <w:b/>
          <w:bCs/>
          <w:color w:val="000000"/>
          <w:sz w:val="24"/>
          <w:szCs w:val="24"/>
        </w:rPr>
        <w:t xml:space="preserve">       </w:t>
      </w:r>
      <w:r>
        <w:rPr>
          <w:rFonts w:hint="eastAsia" w:asciiTheme="minorEastAsia" w:hAnsiTheme="minorEastAsia" w:eastAsiaTheme="minorEastAsia" w:cstheme="minorEastAsia"/>
          <w:color w:val="000000"/>
          <w:sz w:val="24"/>
          <w:szCs w:val="24"/>
        </w:rPr>
        <w:t xml:space="preserve">要求本项目硬件服务所提供的设备为原厂全新合格产品，并提供本项目主要设备（包括：网上巡查摄像机、SIP服务器、考务通终端设备、全频段屏蔽终端、区指挥中心核心交换机、区级指挥中心防火墙）的五年原厂质保。</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outlineLvl w:val="3"/>
      </w:pPr>
      <w:r>
        <w:rPr>
          <w:rFonts w:hint="eastAsia" w:asciiTheme="minorEastAsia" w:hAnsiTheme="minorEastAsia" w:eastAsiaTheme="minorEastAsia" w:cstheme="minorEastAsia"/>
          <w:b w:val="0"/>
          <w:bCs w:val="0"/>
          <w:color w:val="000000"/>
          <w:sz w:val="24"/>
          <w:szCs w:val="24"/>
        </w:rPr>
        <w:t xml:space="preserve">中标供应商严格按照以上功能及技术参数要求履行服务承诺，并通过采购人验收，协助采购人通过二级等保测评、密评等要求。</w:t>
      </w:r>
      <w:r/>
    </w:p>
    <w:p>
      <w:pPr>
        <w:numPr>
          <w:ilvl w:val="0"/>
          <w:numId w:val="17"/>
        </w:numPr>
        <w:ind w:firstLine="402"/>
        <w:jc w:val="left"/>
        <w:keepNext/>
        <w:spacing w:line="400" w:lineRule="exact"/>
        <w:rPr>
          <w:rFonts w:hint="eastAsia" w:asciiTheme="minorEastAsia" w:hAnsiTheme="minorEastAsia" w:eastAsiaTheme="minorEastAsia" w:cstheme="minorEastAsia"/>
          <w:bCs/>
          <w:color w:val="000000"/>
          <w:sz w:val="24"/>
          <w:szCs w:val="24"/>
        </w:rPr>
        <w:outlineLvl w:val="4"/>
      </w:pPr>
      <w:r>
        <w:rPr>
          <w:rFonts w:hint="eastAsia" w:asciiTheme="minorEastAsia" w:hAnsiTheme="minorEastAsia" w:eastAsiaTheme="minorEastAsia" w:cstheme="minorEastAsia"/>
          <w:bCs/>
          <w:color w:val="000000"/>
          <w:sz w:val="24"/>
          <w:szCs w:val="24"/>
        </w:rPr>
        <w:t xml:space="preserve">系统对接服务</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中标供应商确保整体项目内外系统之间的互联互通。确保本项目与江苏省教育考试院标准化考试省级平台、无锡市教育考试院与考点之间互联互通。</w:t>
      </w:r>
      <w:r/>
    </w:p>
    <w:p>
      <w:pPr>
        <w:numPr>
          <w:ilvl w:val="0"/>
          <w:numId w:val="17"/>
        </w:numPr>
        <w:ind w:firstLine="402"/>
        <w:jc w:val="left"/>
        <w:keepNext/>
        <w:spacing w:line="400" w:lineRule="exact"/>
        <w:rPr>
          <w:rFonts w:hint="eastAsia" w:asciiTheme="minorEastAsia" w:hAnsiTheme="minorEastAsia" w:eastAsiaTheme="minorEastAsia" w:cstheme="minorEastAsia"/>
          <w:bCs/>
          <w:color w:val="000000"/>
          <w:sz w:val="24"/>
          <w:szCs w:val="24"/>
        </w:rPr>
        <w:outlineLvl w:val="4"/>
      </w:pPr>
      <w:r>
        <w:rPr>
          <w:rFonts w:hint="eastAsia" w:asciiTheme="minorEastAsia" w:hAnsiTheme="minorEastAsia" w:eastAsiaTheme="minorEastAsia" w:cstheme="minorEastAsia"/>
          <w:bCs/>
          <w:color w:val="000000"/>
          <w:sz w:val="24"/>
          <w:szCs w:val="24"/>
        </w:rPr>
        <w:t xml:space="preserve">备件服务</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中标供应商提供备件服务。当设备故障短时间内无法修复时，应能通过备件渠道紧急调用同品牌型号或高于原品牌功能性能指标的备件，并在最短的时间内用最快的方式发至现场替换。</w:t>
      </w:r>
      <w:r/>
    </w:p>
    <w:p>
      <w:pPr>
        <w:numPr>
          <w:ilvl w:val="0"/>
          <w:numId w:val="17"/>
        </w:numPr>
        <w:ind w:firstLine="402"/>
        <w:jc w:val="left"/>
        <w:keepNext/>
        <w:spacing w:line="400" w:lineRule="exact"/>
        <w:rPr>
          <w:rFonts w:hint="eastAsia" w:asciiTheme="minorEastAsia" w:hAnsiTheme="minorEastAsia" w:eastAsiaTheme="minorEastAsia" w:cstheme="minorEastAsia"/>
          <w:bCs/>
          <w:color w:val="000000"/>
          <w:sz w:val="24"/>
          <w:szCs w:val="24"/>
        </w:rPr>
        <w:outlineLvl w:val="4"/>
      </w:pPr>
      <w:r>
        <w:rPr>
          <w:rFonts w:hint="eastAsia" w:asciiTheme="minorEastAsia" w:hAnsiTheme="minorEastAsia" w:eastAsiaTheme="minorEastAsia" w:cstheme="minorEastAsia"/>
          <w:bCs/>
          <w:color w:val="000000"/>
          <w:sz w:val="24"/>
          <w:szCs w:val="24"/>
        </w:rPr>
        <w:t xml:space="preserve">培训服务</w:t>
      </w:r>
      <w:r/>
    </w:p>
    <w:p>
      <w:pPr>
        <w:pStyle w:val="1266"/>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中标供应商提供完整的培训服务。采用分类、分次培训，使用户可以熟练使用相应系统，以达到维护系统正常运行的要求。培训形式包括集中培训、现场指导、个别培训等。</w:t>
      </w:r>
      <w:r/>
    </w:p>
    <w:p>
      <w:pPr>
        <w:numPr>
          <w:ilvl w:val="0"/>
          <w:numId w:val="17"/>
        </w:numPr>
        <w:ind w:firstLine="402"/>
        <w:keepNext/>
        <w:spacing w:line="400" w:lineRule="exact"/>
        <w:rPr>
          <w:rFonts w:hint="eastAsia" w:asciiTheme="minorEastAsia" w:hAnsiTheme="minorEastAsia" w:eastAsiaTheme="minorEastAsia" w:cstheme="minorEastAsia"/>
          <w:bCs/>
          <w:color w:val="000000"/>
          <w:sz w:val="24"/>
          <w:szCs w:val="24"/>
        </w:rPr>
        <w:outlineLvl w:val="4"/>
      </w:pPr>
      <w:r>
        <w:rPr>
          <w:rFonts w:hint="eastAsia" w:asciiTheme="minorEastAsia" w:hAnsiTheme="minorEastAsia" w:eastAsiaTheme="minorEastAsia" w:cstheme="minorEastAsia"/>
          <w:bCs/>
          <w:color w:val="000000"/>
          <w:sz w:val="24"/>
          <w:szCs w:val="24"/>
        </w:rPr>
        <w:t xml:space="preserve">售后服务</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中标供应商提供本项目的安装和调试服务，并保证其提供的货物符合国家、行业、地方、招投标文件及合同规定的质量、性能和标准，正确安全完成安装。</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提供的服务应按照国家有关法律法规规章、“三包”规定、招标文件要求和中标供应商投标文件中的承诺执行。</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项目终验并进入服务期后，中标供应商提供运行维护服务。包括：</w:t>
      </w:r>
      <w:r/>
    </w:p>
    <w:p>
      <w:pPr>
        <w:pStyle w:val="1266"/>
        <w:ind w:firstLine="480"/>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程中发生问题后及时响应服务。</w:t>
      </w:r>
      <w:r/>
    </w:p>
    <w:p>
      <w:pPr>
        <w:pStyle w:val="1266"/>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数据变更服务：根据外部管理部门提出的审计、检查等需求，按照用户要求提供数据的导入/导出、数据格式制作等服务支持；按照采购人提供的数据变更单及时进行数据变更，确保采购人业务工作顺畅进行。</w:t>
      </w:r>
      <w:r/>
    </w:p>
    <w:p>
      <w:pPr>
        <w:pStyle w:val="1266"/>
        <w:spacing w:line="40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使用咨询服务：中标供应商维保人员应上门服务或及时协助用户进行功能讲解、操作指导或解决相关技术问题等。</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例行巡检服务：中标供应商维保人员定期主动开展应用服务和业务数据的例行巡检服务，包括检查系统运行情况、数据的安全性、业务数据的完整性，以及与其他业务系统的兼容性等。每月至少巡检一次，并提交例行巡检报告，经双方项目负责人签字后存档。</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中标人应当为采购人提供7*24小时技术服务电话，解答采购人在使用中遇到的问题，及时为采购人提出解决问题的建议。在出现系统故障时，30分钟内远程响应，如远程支持无法解决问题时，需1小时内到达采购人现场，4小时内解决问题，24小时内未解决问题的投标人需作出书面解释。</w:t>
      </w:r>
      <w:r/>
    </w:p>
    <w:p>
      <w:pPr>
        <w:pStyle w:val="1266"/>
        <w:numPr>
          <w:ilvl w:val="0"/>
          <w:numId w:val="18"/>
        </w:numPr>
        <w:ind w:firstLine="480"/>
        <w:keepNext/>
        <w:spacing w:line="400" w:lineRule="exact"/>
        <w:widowControl w:val="off"/>
        <w:rPr>
          <w:rFonts w:hint="eastAsia" w:asciiTheme="minorEastAsia" w:hAnsiTheme="minorEastAsia" w:eastAsiaTheme="minorEastAsia" w:cstheme="minorEastAsia"/>
          <w:color w:val="000000"/>
          <w:sz w:val="24"/>
          <w:szCs w:val="24"/>
        </w:rPr>
        <w:outlineLvl w:val="4"/>
      </w:pPr>
      <w:r>
        <w:rPr>
          <w:rFonts w:hint="eastAsia" w:asciiTheme="minorEastAsia" w:hAnsiTheme="minorEastAsia" w:eastAsiaTheme="minorEastAsia" w:cstheme="minorEastAsia"/>
          <w:color w:val="000000"/>
          <w:sz w:val="24"/>
          <w:szCs w:val="24"/>
        </w:rPr>
        <w:t xml:space="preserve"> 有关说明</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1.投标总报价包括满足本项目服务要求的从项目中标起到项目正式交付以及服务期内所发生的一切费用。</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2.进口产品是指通过中国海关报关验放进入中国境内且产自关境外的产品。</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1266"/>
        <w:ind w:firstLine="480"/>
        <w:keepNext/>
        <w:spacing w:line="400" w:lineRule="exact"/>
        <w:widowControl w:val="off"/>
        <w:rPr>
          <w:rFonts w:hint="eastAsia" w:asciiTheme="minorEastAsia" w:hAnsiTheme="minorEastAsia" w:eastAsiaTheme="minorEastAsia" w:cstheme="minorEastAsia"/>
          <w:b w:val="0"/>
          <w:bCs w:val="0"/>
          <w:color w:val="000000"/>
          <w:sz w:val="24"/>
          <w:szCs w:val="24"/>
        </w:rPr>
        <w:outlineLvl w:val="4"/>
      </w:pPr>
      <w:r>
        <w:rPr>
          <w:rFonts w:hint="eastAsia" w:asciiTheme="minorEastAsia" w:hAnsiTheme="minorEastAsia" w:eastAsiaTheme="minorEastAsia" w:cstheme="minorEastAsia"/>
          <w:b w:val="0"/>
          <w:bCs w:val="0"/>
          <w:color w:val="000000"/>
          <w:sz w:val="24"/>
          <w:szCs w:val="24"/>
        </w:rPr>
        <w:t xml:space="preserve">4.投标人必须在满足招标文件要求的基础上进行报价，如有技术偏离请于投标偏离表中说明。</w:t>
      </w:r>
      <w:r/>
    </w:p>
    <w:p>
      <w:pPr>
        <w:ind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5.项目周期：合同签订生效后90个日历天建设完成，9个月试运行后完成终验。项目服务期：5年（终验后进入项目服务期）</w:t>
      </w:r>
      <w:r>
        <w:rPr>
          <w:rFonts w:hint="eastAsia" w:asciiTheme="minorEastAsia" w:hAnsiTheme="minorEastAsia" w:eastAsiaTheme="minorEastAsia" w:cstheme="minorEastAsia"/>
          <w:bCs/>
          <w:color w:val="000000"/>
          <w:sz w:val="24"/>
          <w:szCs w:val="24"/>
        </w:rPr>
        <w:t xml:space="preserve">（具体以签订的合同为准）。</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6.项目整体质保期：终验通过之日起提供5年免费质保服务。</w:t>
      </w:r>
      <w:r/>
    </w:p>
    <w:p>
      <w:pPr>
        <w:ind w:firstLine="480"/>
        <w:jc w:val="left"/>
        <w:spacing w:line="360" w:lineRule="auto"/>
        <w:shd w:val="clear" w:color="auto" w:fill="ffffff"/>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Cs/>
          <w:color w:val="000000"/>
          <w:sz w:val="24"/>
          <w:szCs w:val="24"/>
        </w:rPr>
        <w:t xml:space="preserve">7.付</w:t>
      </w:r>
      <w:bookmarkStart w:id="23" w:name="付款方式"/>
      <w:r/>
      <w:bookmarkEnd w:id="23"/>
      <w:r>
        <w:rPr>
          <w:rFonts w:hint="eastAsia" w:asciiTheme="minorEastAsia" w:hAnsiTheme="minorEastAsia" w:eastAsiaTheme="minorEastAsia" w:cstheme="minorEastAsia"/>
          <w:bCs/>
          <w:color w:val="000000"/>
          <w:sz w:val="24"/>
          <w:szCs w:val="24"/>
        </w:rPr>
        <w:t xml:space="preserve">款方式：合同签订生效且项目初验合格后，支付至签约合同金额的50%；项目终验合格且完成审计后，支付至最终审计结算金额的60%（含已支付的初验款）；项目终验完成并进入服务期后，剩余款项（即最终审计结算金额的40%）在5年服务期内按年等额支付，每年10月份考核评价当年服务得分，考核合格（60分）后支付最终审计结算金额的8%（具体以签订的合同为准）。</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8.交付地点：采</w:t>
      </w:r>
      <w:r>
        <w:rPr>
          <w:rFonts w:hint="eastAsia" w:asciiTheme="minorEastAsia" w:hAnsiTheme="minorEastAsia" w:eastAsiaTheme="minorEastAsia" w:cstheme="minorEastAsia"/>
          <w:color w:val="000000"/>
          <w:sz w:val="24"/>
          <w:szCs w:val="24"/>
        </w:rPr>
        <w:t xml:space="preserve">购项目交付或执行的地点：锡山区教育局及各指定考点学校（</w:t>
      </w:r>
      <w:r>
        <w:rPr>
          <w:rFonts w:hint="eastAsia" w:asciiTheme="minorEastAsia" w:hAnsiTheme="minorEastAsia" w:eastAsiaTheme="minorEastAsia" w:cstheme="minorEastAsia"/>
          <w:bCs/>
          <w:color w:val="000000"/>
          <w:sz w:val="24"/>
          <w:szCs w:val="24"/>
        </w:rPr>
        <w:t xml:space="preserve">具体以签订的合同为准）。</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9.质量及验收：中标人保证向采购人提供的货物是全新、完整、未使用过的；投标人向采购人承诺在质量保证期内，所有非</w:t>
      </w:r>
      <w:r>
        <w:rPr>
          <w:rFonts w:hint="eastAsia" w:asciiTheme="minorEastAsia" w:hAnsiTheme="minorEastAsia" w:eastAsiaTheme="minorEastAsia" w:cstheme="minorEastAsia"/>
          <w:color w:val="000000"/>
          <w:sz w:val="24"/>
          <w:szCs w:val="24"/>
        </w:rPr>
        <w:t xml:space="preserve">故意性损坏以及正常使用范围内造成的损坏均免费维修或更换。因货物本身质量问题导致采购人无法使用的，若更换后仍不能满足正常使用需求的，采购人有权要求退货。对因采购人的不正当使用所造成的损坏不属于投标人责任，但投标人要积极协助采购人进行维修或更换，并保证提供优惠价格的维修和更换服务。</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本项目收取履约保证金，</w:t>
      </w:r>
      <w:r>
        <w:rPr>
          <w:rFonts w:hint="eastAsia" w:ascii="宋体" w:hAnsi="宋体" w:eastAsia="宋体" w:cs="宋体"/>
          <w:b/>
          <w:bCs/>
          <w:sz w:val="24"/>
          <w:szCs w:val="24"/>
        </w:rPr>
        <w:t xml:space="preserve">详见合同条款</w:t>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2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rPr>
      </w:pPr>
      <w:r>
        <w:rPr>
          <w:rFonts w:hint="eastAsia"/>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4"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4"/>
      <w:r/>
      <w:r/>
    </w:p>
    <w:p>
      <w:pPr>
        <w:pStyle w:val="1231"/>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31"/>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31"/>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31"/>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231"/>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r/>
    </w:p>
    <w:p>
      <w:pPr>
        <w:pStyle w:val="1226"/>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bookmarkStart w:id="25" w:name="_Toc22209"/>
      <w:r/>
      <w:bookmarkStart w:id="26" w:name="_Toc20313"/>
      <w:r>
        <w:rPr>
          <w:rFonts w:hint="eastAsia" w:ascii="黑体" w:hAnsi="黑体" w:eastAsia="黑体"/>
          <w:b w:val="0"/>
          <w:bCs w:val="0"/>
          <w:color w:val="000000" w:themeColor="text1"/>
          <w:sz w:val="28"/>
          <w:szCs w:val="28"/>
          <w14:textFill>
            <w14:solidFill>
              <w14:schemeClr w14:val="tx1"/>
            </w14:solidFill>
          </w14:textFill>
        </w:rPr>
        <w:t xml:space="preserve">第一节 </w:t>
      </w:r>
      <w:r>
        <w:rPr>
          <w:rFonts w:hint="eastAsia" w:ascii="黑体" w:hAnsi="华文中宋" w:eastAsia="黑体"/>
          <w:b w:val="0"/>
          <w:bCs w:val="0"/>
          <w:color w:val="000000" w:themeColor="text1"/>
          <w:sz w:val="28"/>
          <w:szCs w:val="28"/>
          <w14:textFill>
            <w14:solidFill>
              <w14:schemeClr w14:val="tx1"/>
            </w14:solidFill>
          </w14:textFill>
        </w:rPr>
        <w:t xml:space="preserve">政府采购合同协议书</w:t>
      </w:r>
      <w:bookmarkEnd w:id="25"/>
      <w:r/>
      <w:r/>
    </w:p>
    <w:p>
      <w:pPr>
        <w:pStyle w:val="1226"/>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w:t>
      </w:r>
      <w:r>
        <w:rPr>
          <w:rFonts w:hint="eastAsia" w:ascii="宋体" w:hAnsi="宋体"/>
          <w:color w:val="000000" w:themeColor="text1"/>
          <w:szCs w:val="21"/>
          <w:u w:val="single"/>
          <w:lang w:val="en-US" w:eastAsia="zh-CN"/>
          <w14:textFill>
            <w14:solidFill>
              <w14:schemeClr w14:val="tx1"/>
            </w14:solidFill>
          </w14:textFill>
        </w:rPr>
        <w:t xml:space="preserve">无锡市</w:t>
      </w:r>
      <w:r>
        <w:rPr>
          <w:rFonts w:hint="eastAsia" w:ascii="宋体" w:hAnsi="宋体" w:cs="Times New Roman"/>
          <w:color w:val="000000" w:themeColor="text1"/>
          <w:szCs w:val="21"/>
          <w:u w:val="single"/>
          <w:lang w:val="en-US" w:eastAsia="zh-CN"/>
          <w14:textFill>
            <w14:solidFill>
              <w14:schemeClr w14:val="tx1"/>
            </w14:solidFill>
          </w14:textFill>
        </w:rPr>
        <w:t xml:space="preserve">锡山区教育局</w:t>
      </w:r>
      <w:r>
        <w:rPr>
          <w:rFonts w:hint="eastAsia" w:ascii="宋体" w:hAnsi="宋体"/>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或采购文件约定的合同甲方）</w:t>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before="0" w:line="400" w:lineRule="exact"/>
        <w:rPr>
          <w:rFonts w:hint="eastAsia" w:ascii="宋体" w:hAnsi="宋体"/>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3</w:t>
      </w:r>
      <w:r>
        <w:rPr>
          <w:rFonts w:hint="eastAsia"/>
          <w:color w:val="000000" w:themeColor="text1"/>
          <w:lang w:val="en-US" w:eastAsia="zh-CN"/>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r>
      <w:r/>
    </w:p>
    <w:p>
      <w:pPr>
        <w:pStyle w:val="1234"/>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中华人民共和国政府采购法》等有关的法律法规，以及</w:t>
      </w:r>
      <w:r>
        <w:rPr>
          <w:rFonts w:hint="eastAsia" w:ascii="宋体" w:hAnsi="宋体"/>
          <w:i w:val="0"/>
          <w:iCs w:val="0"/>
          <w:color w:val="000000" w:themeColor="text1"/>
          <w:szCs w:val="21"/>
          <w:u w:val="none"/>
          <w:lang w:eastAsia="zh-CN"/>
          <w14:textFill>
            <w14:solidFill>
              <w14:schemeClr w14:val="tx1"/>
            </w14:solidFill>
          </w14:textFill>
        </w:rPr>
        <w:t xml:space="preserve">本采购项目</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lang w:eastAsia="zh-CN"/>
          <w14:textFill>
            <w14:solidFill>
              <w14:schemeClr w14:val="tx1"/>
            </w14:solidFill>
          </w14:textFill>
        </w:rPr>
        <w:t xml:space="preserve">招标</w:t>
      </w:r>
      <w:r>
        <w:rPr>
          <w:rFonts w:hint="eastAsia" w:ascii="宋体" w:hAnsi="宋体"/>
          <w:color w:val="000000" w:themeColor="text1"/>
          <w:szCs w:val="21"/>
          <w:lang w:val="en-US" w:eastAsia="zh-CN"/>
          <w14:textFill>
            <w14:solidFill>
              <w14:schemeClr w14:val="tx1"/>
            </w14:solidFill>
          </w14:textFill>
        </w:rPr>
        <w:t xml:space="preserve">/谈判</w:t>
      </w:r>
      <w:r>
        <w:rPr>
          <w:rFonts w:hint="eastAsia" w:ascii="宋体" w:hAnsi="宋体"/>
          <w:color w:val="000000" w:themeColor="text1"/>
          <w:szCs w:val="21"/>
          <w:lang w:eastAsia="zh-CN"/>
          <w14:textFill>
            <w14:solidFill>
              <w14:schemeClr w14:val="tx1"/>
            </w14:solidFill>
          </w14:textFill>
        </w:rPr>
        <w:t xml:space="preserve">文件等</w:t>
      </w:r>
      <w:r>
        <w:rPr>
          <w:rFonts w:hint="eastAsia" w:ascii="宋体" w:hAnsi="宋体"/>
          <w:color w:val="000000" w:themeColor="text1"/>
          <w:szCs w:val="21"/>
          <w14:textFill>
            <w14:solidFill>
              <w14:schemeClr w14:val="tx1"/>
            </w14:solidFill>
          </w14:textFill>
        </w:rPr>
        <w:t xml:space="preserve">采购文件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乙方的《投标（响应）文件》及《中标（成交）通知书》，甲乙双方同意签订本合同。具体情况及要求如下：     </w:t>
      </w:r>
      <w:r/>
    </w:p>
    <w:p>
      <w:pPr>
        <w:numPr>
          <w:ilvl w:val="0"/>
          <w:numId w:val="19"/>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1234"/>
        <w:numPr>
          <w:ilvl w:val="0"/>
          <w:numId w:val="20"/>
        </w:numPr>
        <w:ind w:left="0" w:firstLine="420"/>
        <w:spacing w:before="0" w:after="0" w:line="40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eastAsia="等线" w:cs="Times New Roman"/>
          <w:color w:val="000000" w:themeColor="text1"/>
          <w:sz w:val="21"/>
          <w:szCs w:val="21"/>
          <w:u w:val="single"/>
          <w:lang w:val="en-US" w:eastAsia="zh-CN" w:bidi="ar-SA"/>
          <w14:textFill>
            <w14:solidFill>
              <w14:schemeClr w14:val="tx1"/>
            </w14:solidFill>
          </w14:textFill>
        </w:rPr>
        <w:t xml:space="preserve">无锡市锡山区教育考试标准化考点建设项目</w:t>
      </w:r>
      <w:r/>
    </w:p>
    <w:p>
      <w:pPr>
        <w:pStyle w:val="1234"/>
        <w:numPr>
          <w:ilvl w:val="-1"/>
          <w:numId w:val="0"/>
        </w:numPr>
        <w:ind w:left="0" w:firstLine="0"/>
        <w:spacing w:before="0" w:after="0" w:line="400" w:lineRule="exact"/>
        <w:tabs>
          <w:tab w:val="left" w:pos="999" w:leader="none"/>
        </w:tabs>
        <w:rPr>
          <w:rFonts w:hint="default" w:ascii="宋体" w:hAnsi="宋体" w:eastAsia="宋体"/>
          <w:color w:val="000000" w:themeColor="text1"/>
          <w:szCs w:val="21"/>
          <w:u w:val="none"/>
          <w:lang w:val="en-US" w:eastAsia="zh-CN"/>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1234"/>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采购标的及数量</w:t>
      </w:r>
      <w:r>
        <w:rPr>
          <w:rFonts w:hint="eastAsia" w:ascii="宋体" w:hAnsi="宋体"/>
          <w:color w:val="000000" w:themeColor="text1"/>
          <w:szCs w:val="21"/>
          <w:lang w:val="en-US" w:eastAsia="zh-CN"/>
          <w14:textFill>
            <w14:solidFill>
              <w14:schemeClr w14:val="tx1"/>
            </w14:solidFill>
          </w14:textFill>
        </w:rPr>
        <w:t xml:space="preserve">（台/套</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个</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架</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组等</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r/>
    </w:p>
    <w:p>
      <w:pPr>
        <w:numPr>
          <w:ilvl w:val="-1"/>
          <w:numId w:val="0"/>
        </w:numPr>
        <w:ind w:firstLine="420"/>
        <w:spacing w:before="0" w:line="400" w:lineRule="exact"/>
        <w:rPr>
          <w:rFonts w:hint="default" w:ascii="宋体" w:hAnsi="宋体" w:cs="宋体"/>
          <w:color w:val="000000" w:themeColor="text1"/>
          <w:szCs w:val="21"/>
          <w:lang w:val="en"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none"/>
          <w:lang w:val="en"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规格型号：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p>
    <w:p>
      <w:pPr>
        <w:ind w:firstLine="945"/>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采购标的的技术要求、商务要求具体见附件。</w:t>
      </w:r>
      <w:r/>
    </w:p>
    <w:p>
      <w:pPr>
        <w:numPr>
          <w:ilvl w:val="-1"/>
          <w:numId w:val="0"/>
        </w:numPr>
        <w:ind w:firstLine="945"/>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汉仪书宋二S" w:hAnsi="汉仪书宋二S" w:eastAsia="汉仪书宋二S" w:cs="汉仪书宋二S"/>
          <w:color w:val="000000" w:themeColor="text1"/>
          <w:szCs w:val="21"/>
          <w:lang w:val="en-US" w:eastAsia="zh-CN"/>
          <w14:textFill>
            <w14:solidFill>
              <w14:schemeClr w14:val="tx1"/>
            </w14:solidFill>
          </w14:textFill>
        </w:rPr>
        <w:t xml:space="preserve">①</w:t>
      </w:r>
      <w:r>
        <w:rPr>
          <w:rFonts w:hint="eastAsia" w:ascii="宋体" w:hAnsi="宋体" w:cs="宋体"/>
          <w:color w:val="000000" w:themeColor="text1"/>
          <w:szCs w:val="21"/>
          <w:lang w:val="en-US" w:eastAsia="zh-CN"/>
          <w14:textFill>
            <w14:solidFill>
              <w14:schemeClr w14:val="tx1"/>
            </w14:solidFill>
          </w14:textFill>
        </w:rPr>
        <w:t xml:space="preserve">涉及信息类产品，请填写该产品关键部件的品牌、型号：</w:t>
      </w:r>
      <w:r/>
    </w:p>
    <w:p>
      <w:pPr>
        <w:numPr>
          <w:ilvl w:val="-1"/>
          <w:numId w:val="0"/>
        </w:numPr>
        <w:ind w:firstLine="420"/>
        <w:spacing w:before="0" w:line="400" w:lineRule="exact"/>
        <w:rPr>
          <w:rFonts w:hint="eastAsia" w:ascii="宋体" w:hAnsi="宋体" w:cs="宋体"/>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标的名称：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420"/>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关键部件：</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p>
    <w:p>
      <w:pPr>
        <w:pStyle w:val="1256"/>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p>
    <w:p>
      <w:pPr>
        <w:pStyle w:val="1256"/>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p>
    <w:p>
      <w:pPr>
        <w:pStyle w:val="1256"/>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256"/>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汉仪书宋二S" w:hAnsi="汉仪书宋二S" w:eastAsia="汉仪书宋二S" w:cs="汉仪书宋二S"/>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lang w:val="en-US" w:eastAsia="zh-CN"/>
          <w14:textFill>
            <w14:solidFill>
              <w14:schemeClr w14:val="tx1"/>
            </w14:solidFill>
          </w14:textFill>
        </w:rPr>
        <w:t xml:space="preserve">涉及车辆采购，请填写是否属于新能源汽车：</w:t>
      </w:r>
      <w:r/>
    </w:p>
    <w:p>
      <w:pPr>
        <w:pStyle w:val="1256"/>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14:textFill>
            <w14:solidFill>
              <w14:schemeClr w14:val="tx1"/>
            </w14:solidFill>
          </w14:textFill>
        </w:rPr>
        <w:t xml:space="preserve">是</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，《政府采购品目分类目录》底级品目名称</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金额：</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p>
    <w:p>
      <w:pPr>
        <w:pStyle w:val="1256"/>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否</w:t>
      </w:r>
      <w:r/>
    </w:p>
    <w:p>
      <w:pPr>
        <w:pStyle w:val="1256"/>
        <w:numPr>
          <w:ilvl w:val="-1"/>
          <w:numId w:val="0"/>
        </w:numPr>
        <w:ind w:left="0"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4</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）政府采购组织形式：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政府集中采购</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部门集中采购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分散采购</w:t>
      </w:r>
      <w:r/>
    </w:p>
    <w:p>
      <w:pPr>
        <w:pStyle w:val="1256"/>
        <w:numPr>
          <w:ilvl w:val="-1"/>
          <w:numId w:val="0"/>
        </w:numPr>
        <w:ind w:left="0" w:firstLine="42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5</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）政府采购方式：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公开招标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邀请招标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竞争性谈判</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竞争性磋商</w:t>
      </w:r>
      <w:r/>
    </w:p>
    <w:p>
      <w:pPr>
        <w:pStyle w:val="1256"/>
        <w:numPr>
          <w:ilvl w:val="-1"/>
          <w:numId w:val="0"/>
        </w:numPr>
        <w:ind w:left="0" w:firstLine="420"/>
        <w:spacing w:before="0" w:line="400" w:lineRule="exact"/>
        <w:rPr>
          <w:rFonts w:hint="eastAsia" w:ascii="宋体" w:hAnsi="宋体" w:eastAsia="宋体" w:cs="宋体"/>
          <w:iCs w:val="0"/>
          <w:color w:val="000000" w:themeColor="text1"/>
          <w:sz w:val="21"/>
          <w:szCs w:val="21"/>
          <w:u w:val="single"/>
          <w:lang w:val="en-US" w:eastAsia="zh-CN"/>
          <w14:textFill>
            <w14:solidFill>
              <w14:schemeClr w14:val="tx1"/>
            </w14:solidFill>
          </w14:textFill>
        </w:rPr>
      </w:pPr>
      <w:r>
        <w:rPr>
          <w:rFonts w:hint="eastAsia" w:ascii="宋体" w:hAnsi="宋体" w:cs="宋体"/>
          <w:color w:val="000000" w:themeColor="text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询价</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单一来源</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框架协议</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其他：</w:t>
      </w:r>
      <w:r>
        <w:rPr>
          <w:rFonts w:hint="eastAsia" w:ascii="宋体" w:hAnsi="宋体" w:eastAsia="宋体" w:cs="宋体"/>
          <w:iCs w:val="0"/>
          <w:color w:val="000000" w:themeColor="text1"/>
          <w:sz w:val="21"/>
          <w:szCs w:val="21"/>
          <w:u w:val="single"/>
          <w:lang w:val="en-US" w:eastAsia="zh-CN"/>
          <w14:textFill>
            <w14:solidFill>
              <w14:schemeClr w14:val="tx1"/>
            </w14:solidFill>
          </w14:textFill>
        </w:rPr>
        <w:t xml:space="preserve">          </w:t>
      </w:r>
      <w:r/>
    </w:p>
    <w:p>
      <w:pPr>
        <w:pStyle w:val="1256"/>
        <w:numPr>
          <w:ilvl w:val="-1"/>
          <w:numId w:val="0"/>
        </w:numPr>
        <w:ind w:left="0" w:firstLine="420"/>
        <w:spacing w:before="0" w:line="400" w:lineRule="exact"/>
        <w:rPr>
          <w:rFonts w:hint="default" w:ascii="宋体" w:hAnsi="宋体" w:eastAsia="宋体" w:cs="宋体"/>
          <w:iCs w:val="0"/>
          <w:color w:val="000000" w:themeColor="text1"/>
          <w:sz w:val="21"/>
          <w:szCs w:val="21"/>
          <w:u w:val="none"/>
          <w:lang w:val="en-US" w:eastAsia="zh-CN"/>
          <w14:textFill>
            <w14:solidFill>
              <w14:schemeClr w14:val="tx1"/>
            </w14:solidFill>
          </w14:textFill>
        </w:rPr>
      </w:pP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（注：在框架协议采购的第二阶段，可选择使用该合同文本）</w:t>
      </w:r>
      <w:r/>
    </w:p>
    <w:p>
      <w:pPr>
        <w:pStyle w:val="1256"/>
        <w:numPr>
          <w:ilvl w:val="-1"/>
          <w:numId w:val="0"/>
        </w:numPr>
        <w:ind w:firstLine="220"/>
        <w:spacing w:before="0" w:line="400" w:lineRule="exac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default" w:ascii="宋体" w:hAnsi="宋体"/>
          <w:color w:val="000000" w:themeColor="text1"/>
          <w:szCs w:val="21"/>
          <w:lang w:val="en" w:eastAsia="zh-CN"/>
          <w14:textFill>
            <w14:solidFill>
              <w14:schemeClr w14:val="tx1"/>
            </w14:solidFill>
          </w14:textFill>
        </w:rPr>
        <w:t xml:space="preserve">6</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是      </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否</w:t>
      </w:r>
      <w:r/>
    </w:p>
    <w:p>
      <w:pPr>
        <w:numPr>
          <w:ilvl w:val="-1"/>
          <w:numId w:val="0"/>
        </w:numPr>
        <w:ind w:left="0" w:firstLine="0"/>
        <w:spacing w:before="0" w:line="400" w:lineRule="exac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本合同</w:t>
      </w:r>
      <w:r>
        <w:rPr>
          <w:rFonts w:hint="eastAsia" w:ascii="宋体" w:hAnsi="宋体"/>
          <w:color w:val="000000" w:themeColor="text1"/>
          <w:szCs w:val="21"/>
          <w14:textFill>
            <w14:solidFill>
              <w14:schemeClr w14:val="tx1"/>
            </w14:solidFill>
          </w14:textFill>
        </w:rPr>
        <w:t xml:space="preserve">是否</w:t>
      </w:r>
      <w:r>
        <w:rPr>
          <w:rFonts w:hint="eastAsia" w:ascii="宋体" w:hAnsi="宋体"/>
          <w:color w:val="000000" w:themeColor="text1"/>
          <w:szCs w:val="21"/>
          <w:lang w:eastAsia="zh-CN"/>
          <w14:textFill>
            <w14:solidFill>
              <w14:schemeClr w14:val="tx1"/>
            </w14:solidFill>
          </w14:textFill>
        </w:rPr>
        <w:t xml:space="preserve">为专门面向</w:t>
      </w:r>
      <w:r>
        <w:rPr>
          <w:rFonts w:hint="eastAsia" w:ascii="宋体" w:hAnsi="宋体"/>
          <w:color w:val="000000" w:themeColor="text1"/>
          <w:szCs w:val="21"/>
          <w14:textFill>
            <w14:solidFill>
              <w14:schemeClr w14:val="tx1"/>
            </w14:solidFill>
          </w14:textFill>
        </w:rPr>
        <w:t xml:space="preserve">中小企业</w:t>
      </w:r>
      <w:r>
        <w:rPr>
          <w:rFonts w:hint="eastAsia" w:ascii="宋体" w:hAnsi="宋体"/>
          <w:color w:val="000000" w:themeColor="text1"/>
          <w:szCs w:val="21"/>
          <w:lang w:eastAsia="zh-CN"/>
          <w14:textFill>
            <w14:solidFill>
              <w14:schemeClr w14:val="tx1"/>
            </w14:solidFill>
          </w14:textFill>
        </w:rPr>
        <w:t xml:space="preserve">的采</w:t>
      </w:r>
      <w:r>
        <w:rPr>
          <w:rFonts w:hint="eastAsia" w:ascii="宋体" w:hAnsi="宋体"/>
          <w:color w:val="000000" w:themeColor="text1"/>
          <w:szCs w:val="21"/>
          <w:shd w:val="clear" w:color="auto"/>
          <w:lang w:eastAsia="zh-CN"/>
          <w14:textFill>
            <w14:solidFill>
              <w14:schemeClr w14:val="tx1"/>
            </w14:solidFill>
          </w14:textFill>
        </w:rPr>
        <w:t xml:space="preserve">购</w:t>
      </w:r>
      <w:r>
        <w:rPr>
          <w:rFonts w:hint="eastAsia" w:ascii="宋体" w:hAnsi="宋体"/>
          <w:color w:val="000000" w:themeColor="text1"/>
          <w:szCs w:val="21"/>
          <w:shd w:val="clear" w:color="auto"/>
          <w14:textFill>
            <w14:solidFill>
              <w14:schemeClr w14:val="tx1"/>
            </w14:solidFill>
          </w14:textFill>
        </w:rPr>
        <w:t xml:space="preserve">合同</w:t>
      </w:r>
      <w:r>
        <w:rPr>
          <w:rFonts w:hint="eastAsia" w:ascii="宋体" w:hAnsi="宋体"/>
          <w:color w:val="000000" w:themeColor="text1"/>
          <w:szCs w:val="21"/>
          <w:shd w:val="clear" w:color="auto"/>
          <w:lang w:eastAsia="zh-CN"/>
          <w14:textFill>
            <w14:solidFill>
              <w14:schemeClr w14:val="tx1"/>
            </w14:solidFill>
          </w14:textFill>
        </w:rPr>
        <w:t xml:space="preserve">（中小企业预留合同）</w:t>
      </w:r>
      <w:r>
        <w:rPr>
          <w:rFonts w:hint="eastAsia" w:ascii="宋体" w:hAnsi="宋体"/>
          <w:color w:val="000000" w:themeColor="text1"/>
          <w:szCs w:val="21"/>
          <w:shd w:val="clear" w:color="auto"/>
          <w14:textFill>
            <w14:solidFill>
              <w14:schemeClr w14:val="tx1"/>
            </w14:solidFill>
          </w14:textFill>
        </w:rPr>
        <w:t xml:space="preserve">：</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hint="eastAsia" w:ascii="宋体" w:hAnsi="宋体"/>
          <w:iCs/>
          <w:color w:val="000000" w:themeColor="text1"/>
          <w:szCs w:val="21"/>
          <w:lang w:val="en-US" w:eastAsia="zh-CN"/>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0"/>
          <w:numId w:val="0"/>
        </w:numPr>
        <w:ind w:firstLine="0"/>
        <w:spacing w:line="400" w:lineRule="exact"/>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default" w:ascii="宋体" w:hAnsi="宋体"/>
          <w:color w:val="000000" w:themeColor="text1"/>
          <w:szCs w:val="21"/>
          <w:lang w:val="en"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分包主要内容：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lang w:eastAsia="zh-CN"/>
          <w14:textFill>
            <w14:solidFill>
              <w14:schemeClr w14:val="tx1"/>
            </w14:solidFill>
          </w14:textFill>
        </w:rPr>
        <w:t xml:space="preserve">（如供应商和制造商不同，请分别填写）</w:t>
      </w:r>
      <w:r>
        <w:rPr>
          <w:rFonts w:hint="eastAsia" w:ascii="宋体" w:hAnsi="宋体"/>
          <w:color w:val="000000" w:themeColor="text1"/>
          <w:szCs w:val="21"/>
          <w:highlight w:val="none"/>
          <w14:textFill>
            <w14:solidFill>
              <w14:schemeClr w14:val="tx1"/>
            </w14:solidFill>
          </w14:textFill>
        </w:rPr>
        <w:t xml:space="preserve">：</w:t>
      </w:r>
      <w:r/>
    </w:p>
    <w:p>
      <w:pPr>
        <w:ind w:firstLine="840"/>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分包供应商</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14:textFill>
            <w14:solidFill>
              <w14:schemeClr w14:val="tx1"/>
            </w14:solidFill>
          </w14:textFill>
        </w:rPr>
        <w:t xml:space="preserve">类型</w:t>
      </w:r>
      <w:r>
        <w:rPr>
          <w:rFonts w:hint="eastAsia" w:ascii="宋体" w:hAnsi="宋体"/>
          <w:color w:val="000000" w:themeColor="text1"/>
          <w:szCs w:val="21"/>
          <w:highlight w:val="none"/>
          <w:lang w:eastAsia="zh-CN"/>
          <w14:textFill>
            <w14:solidFill>
              <w14:schemeClr w14:val="tx1"/>
            </w14:solidFill>
          </w14:textFill>
        </w:rPr>
        <w:t xml:space="preserve">（如果供应商和制造商不同，只填写制造商类型）</w:t>
      </w:r>
      <w:r>
        <w:rPr>
          <w:rFonts w:hint="eastAsia" w:ascii="宋体" w:hAnsi="宋体"/>
          <w:color w:val="000000" w:themeColor="text1"/>
          <w:szCs w:val="21"/>
          <w14:textFill>
            <w14:solidFill>
              <w14:schemeClr w14:val="tx1"/>
            </w14:solidFill>
          </w14:textFill>
        </w:rPr>
        <w:t xml:space="preserve">：</w:t>
      </w:r>
      <w:r/>
    </w:p>
    <w:p>
      <w:pPr>
        <w:ind w:firstLine="840"/>
        <w:spacing w:line="400" w:lineRule="exact"/>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w:t>
      </w:r>
      <w:r>
        <w:rPr>
          <w:rFonts w:hint="eastAsia" w:ascii="宋体" w:hAnsi="宋体"/>
          <w:iCs/>
          <w:color w:val="000000" w:themeColor="text1"/>
          <w:szCs w:val="21"/>
          <w:lang w:val="en-US" w:eastAsia="zh-CN"/>
          <w14:textFill>
            <w14:solidFill>
              <w14:schemeClr w14:val="tx1"/>
            </w14:solidFill>
          </w14:textFill>
        </w:rPr>
        <w:t xml:space="preserve">  </w:t>
      </w:r>
      <w:r/>
    </w:p>
    <w:p>
      <w:pPr>
        <w:ind w:firstLine="840"/>
        <w:spacing w:line="400" w:lineRule="exact"/>
        <w:rPr>
          <w:rFonts w:hint="default" w:eastAsia="华文楷体"/>
          <w:color w:val="000000" w:themeColor="text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残疾人福利性单位</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监狱</w:t>
      </w:r>
      <w:r>
        <w:rPr>
          <w:rFonts w:hint="eastAsia" w:ascii="宋体" w:hAnsi="宋体"/>
          <w:iCs/>
          <w:color w:val="000000" w:themeColor="text1"/>
          <w:szCs w:val="21"/>
          <w14:textFill>
            <w14:solidFill>
              <w14:schemeClr w14:val="tx1"/>
            </w14:solidFill>
          </w14:textFill>
        </w:rPr>
        <w:t xml:space="preserve">企业</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p>
    <w:p>
      <w:pPr>
        <w:numPr>
          <w:ilvl w:val="-1"/>
          <w:numId w:val="0"/>
        </w:numPr>
        <w:ind w:left="0" w:firstLine="0"/>
        <w:spacing w:before="0"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rPr>
          <w:rFonts w:hint="default" w:ascii="宋体" w:hAnsi="宋体" w:cs="宋体"/>
          <w:color w:val="000000" w:themeColor="text1"/>
          <w:szCs w:val="21"/>
          <w:highlight w:val="none"/>
          <w:u w:val="none"/>
          <w:lang w:val="en" w:eastAsia="zh-CN"/>
          <w14:textFill>
            <w14:solidFill>
              <w14:schemeClr w14:val="tx1"/>
            </w14:solidFill>
          </w14:textFill>
        </w:rPr>
        <w:t xml:space="preserve">8</w:t>
      </w:r>
      <w:r>
        <w:rPr>
          <w:rFonts w:hint="eastAsia" w:ascii="宋体" w:hAnsi="宋体" w:cs="宋体"/>
          <w:color w:val="000000" w:themeColor="text1"/>
          <w:szCs w:val="21"/>
          <w:highlight w:val="none"/>
          <w:u w:val="none"/>
          <w:lang w:val="en-US" w:eastAsia="zh-CN"/>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256"/>
        <w:tabs>
          <w:tab w:val="left" w:pos="1340" w:leader="none"/>
        </w:tabs>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外商投资企业类型：</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全部由外国投资者投资  </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部分由外国投资者投资</w:t>
      </w:r>
      <w:r/>
    </w:p>
    <w:p>
      <w:pPr>
        <w:numPr>
          <w:ilvl w:val="-1"/>
          <w:numId w:val="0"/>
        </w:numPr>
        <w:ind w:firstLine="420"/>
        <w:spacing w:before="0" w:line="400" w:lineRule="exac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w:t>
      </w:r>
      <w:r>
        <w:rPr>
          <w:rFonts w:hint="default" w:ascii="宋体" w:hAnsi="宋体" w:cs="宋体"/>
          <w:b w:val="0"/>
          <w:bCs w:val="0"/>
          <w:color w:val="000000" w:themeColor="text1"/>
          <w:sz w:val="21"/>
          <w:szCs w:val="21"/>
          <w:u w:val="none"/>
          <w:lang w:val="en" w:eastAsia="zh-CN"/>
          <w14:textFill>
            <w14:solidFill>
              <w14:schemeClr w14:val="tx1"/>
            </w14:solidFill>
          </w14:textFill>
        </w:rPr>
        <w:t xml:space="preserve">9</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）是否涉及进口产品：</w:t>
      </w:r>
      <w:r/>
    </w:p>
    <w:p>
      <w:pPr>
        <w:numPr>
          <w:ilvl w:val="-1"/>
          <w:numId w:val="0"/>
        </w:numPr>
        <w:ind w:firstLine="840"/>
        <w:spacing w:before="0" w:line="400" w:lineRule="exact"/>
        <w:rPr>
          <w:rFonts w:hint="eastAsia"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cs="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cs="宋体"/>
          <w:iCs w:val="0"/>
          <w:color w:val="000000" w:themeColor="text1"/>
          <w:szCs w:val="21"/>
          <w14:textFill>
            <w14:solidFill>
              <w14:schemeClr w14:val="tx1"/>
            </w14:solidFill>
          </w14:textFill>
        </w:rPr>
        <w:t xml:space="preserve">是</w:t>
      </w:r>
      <w:r>
        <w:rPr>
          <w:rFonts w:hint="eastAsia" w:ascii="宋体" w:hAnsi="宋体" w:eastAsia="宋体" w:cs="宋体"/>
          <w:iCs w:val="0"/>
          <w:color w:val="000000" w:themeColor="text1"/>
          <w:szCs w:val="21"/>
          <w:lang w:eastAsia="zh-CN"/>
          <w14:textFill>
            <w14:solidFill>
              <w14:schemeClr w14:val="tx1"/>
            </w14:solidFill>
          </w14:textFill>
        </w:rPr>
        <w:t xml:space="preserve">，</w:t>
      </w:r>
      <w:r>
        <w:rPr>
          <w:rFonts w:hint="eastAsia" w:ascii="宋体" w:hAnsi="宋体" w:cs="宋体"/>
          <w:iCs w:val="0"/>
          <w:color w:val="000000" w:themeColor="text1"/>
          <w:szCs w:val="21"/>
          <w:lang w:eastAsia="zh-CN"/>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金额：</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840"/>
        <w:spacing w:before="0" w:line="400" w:lineRule="exact"/>
        <w:rPr>
          <w:rFonts w:hint="eastAsia" w:ascii="宋体" w:hAnsi="宋体" w:eastAsia="宋体"/>
          <w:iCs w:val="0"/>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国别：</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品牌：</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none"/>
          <w:lang w:val="en-US" w:eastAsia="zh-CN"/>
          <w14:textFill>
            <w14:solidFill>
              <w14:schemeClr w14:val="tx1"/>
            </w14:solidFill>
          </w14:textFill>
        </w:rPr>
        <w:t xml:space="preserve"> 规格型号：</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iCs w:val="0"/>
          <w:color w:val="000000" w:themeColor="text1"/>
          <w:szCs w:val="21"/>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u w:val="none"/>
          <w:lang w:val="en-US" w:eastAsia="zh-CN"/>
          <w14:textFill>
            <w14:solidFill>
              <w14:schemeClr w14:val="tx1"/>
            </w14:solidFill>
          </w14:textFill>
        </w:rPr>
      </w:pPr>
      <w:r>
        <w:rPr>
          <w:rFonts w:hint="eastAsia" w:ascii="宋体" w:hAnsi="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（1</w:t>
      </w:r>
      <w:r>
        <w:rPr>
          <w:rFonts w:hint="default" w:ascii="宋体" w:hAnsi="宋体"/>
          <w:b w:val="0"/>
          <w:bCs w:val="0"/>
          <w:color w:val="000000" w:themeColor="text1"/>
          <w:sz w:val="21"/>
          <w:szCs w:val="21"/>
          <w:u w:val="none"/>
          <w:lang w:val="en" w:eastAsia="zh-CN"/>
          <w14:textFill>
            <w14:solidFill>
              <w14:schemeClr w14:val="tx1"/>
            </w14:solidFill>
          </w14:textFill>
        </w:rPr>
        <w:t xml:space="preserve">0</w:t>
      </w:r>
      <w:r>
        <w:rPr>
          <w:rFonts w:hint="eastAsia" w:ascii="宋体" w:hAnsi="宋体"/>
          <w:b w:val="0"/>
          <w:bCs w:val="0"/>
          <w:color w:val="000000" w:themeColor="text1"/>
          <w:sz w:val="21"/>
          <w:szCs w:val="21"/>
          <w:u w:val="none"/>
          <w:lang w:val="en-US" w:eastAsia="zh-CN"/>
          <w14:textFill>
            <w14:solidFill>
              <w14:schemeClr w14:val="tx1"/>
            </w14:solidFill>
          </w14:textFill>
        </w:rPr>
        <w:t xml:space="preserve">）</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是否涉及节能产品：</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eastAsia="宋体"/>
          <w:iCs w:val="0"/>
          <w:color w:val="000000" w:themeColor="text1"/>
          <w:szCs w:val="21"/>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w:t>
      </w:r>
      <w:r>
        <w:rPr>
          <w:rFonts w:hint="eastAsia" w:ascii="宋体" w:hAnsi="宋体"/>
          <w:b w:val="0"/>
          <w:bCs w:val="0"/>
          <w:color w:val="000000" w:themeColor="text1"/>
          <w:sz w:val="21"/>
          <w:szCs w:val="21"/>
          <w:u w:val="none"/>
          <w:lang w:val="en-US" w:eastAsia="zh-CN"/>
          <w14:textFill>
            <w14:solidFill>
              <w14:schemeClr w14:val="tx1"/>
            </w14:solidFill>
          </w14:textFill>
        </w:rPr>
        <w:t xml:space="preserve">环境标志</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产品：</w:t>
      </w:r>
      <w:r/>
    </w:p>
    <w:p>
      <w:pPr>
        <w:numPr>
          <w:ilvl w:val="-1"/>
          <w:numId w:val="0"/>
        </w:numPr>
        <w:ind w:firstLine="0"/>
        <w:spacing w:before="0" w:line="400" w:lineRule="exact"/>
        <w:tabs>
          <w:tab w:val="left" w:pos="740" w:leader="none"/>
        </w:tabs>
        <w:rPr>
          <w:rFonts w:hint="eastAsia" w:ascii="宋体" w:hAnsi="宋体"/>
          <w:iCs w:val="0"/>
          <w:color w:val="000000" w:themeColor="text1"/>
          <w:szCs w:val="21"/>
          <w:lang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pStyle w:val="1256"/>
        <w:numPr>
          <w:ilvl w:val="-1"/>
          <w:numId w:val="0"/>
        </w:numPr>
        <w:ind w:firstLine="0"/>
        <w:spacing w:before="0" w:line="400" w:lineRule="exact"/>
        <w:rPr>
          <w:rFonts w:hint="eastAsia" w:ascii="宋体" w:hAnsi="宋体" w:eastAsia="宋体" w:cs="Times New Roman"/>
          <w:i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Times New Roman"/>
          <w:b w:val="0"/>
          <w:bCs w:val="0"/>
          <w:color w:val="000000" w:themeColor="text1"/>
          <w:sz w:val="21"/>
          <w:szCs w:val="21"/>
          <w:u w:val="none"/>
          <w:lang w:val="en-US" w:eastAsia="zh-CN"/>
          <w14:textFill>
            <w14:solidFill>
              <w14:schemeClr w14:val="tx1"/>
            </w14:solidFill>
          </w14:textFill>
        </w:rPr>
        <w:t xml:space="preserve">是否涉及绿色产品：</w:t>
      </w: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p>
    <w:p>
      <w:pPr>
        <w:pStyle w:val="1256"/>
        <w:ind w:firstLine="420"/>
        <w:rPr>
          <w:rFonts w:hint="eastAsia" w:ascii="宋体" w:hAnsi="宋体" w:eastAsia="宋体"/>
          <w:color w:val="000000" w:themeColor="text1"/>
          <w:szCs w:val="21"/>
          <w:u w:val="singl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是</w:t>
      </w:r>
      <w:r>
        <w:rPr>
          <w:rFonts w:hint="eastAsia" w:ascii="宋体" w:hAnsi="宋体" w:eastAsia="宋体" w:cs="Times New Roman"/>
          <w:iCs w:val="0"/>
          <w:color w:val="000000" w:themeColor="text1"/>
          <w:sz w:val="21"/>
          <w:szCs w:val="21"/>
          <w:u w:val="none"/>
          <w:lang w:eastAsia="zh-CN"/>
          <w14:textFill>
            <w14:solidFill>
              <w14:schemeClr w14:val="tx1"/>
            </w14:solidFill>
          </w14:textFill>
        </w:rPr>
        <w:t xml:space="preserve">，绿色产品政府采购相关政策确定的底级品目名称：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pStyle w:val="1256"/>
        <w:ind w:firstLine="420"/>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否</w:t>
      </w:r>
      <w:r/>
    </w:p>
    <w:p>
      <w:pPr>
        <w:numPr>
          <w:ilvl w:val="-1"/>
          <w:numId w:val="0"/>
        </w:numPr>
        <w:ind w:firstLine="0"/>
        <w:spacing w:before="0" w:line="400" w:lineRule="exac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（1</w:t>
      </w:r>
      <w:r>
        <w:rPr>
          <w:rFonts w:hint="default" w:ascii="宋体" w:hAnsi="宋体"/>
          <w:color w:val="000000" w:themeColor="text1"/>
          <w:szCs w:val="21"/>
          <w:lang w:val="en" w:eastAsia="zh-CN"/>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olor w:val="000000" w:themeColor="text1"/>
          <w:szCs w:val="21"/>
          <w:lang w:val="en-US" w:eastAsia="zh-CN"/>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快递包装政府采购需求标准（试行）》</w:t>
      </w:r>
      <w:r>
        <w:rPr>
          <w:rFonts w:hint="eastAsia" w:ascii="宋体" w:hAnsi="宋体" w:eastAsia="宋体"/>
          <w:color w:val="000000" w:themeColor="text1"/>
          <w:szCs w:val="21"/>
          <w:lang w:eastAsia="zh-CN"/>
          <w14:textFill>
            <w14:solidFill>
              <w14:schemeClr w14:val="tx1"/>
            </w14:solidFill>
          </w14:textFill>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color w:val="000000" w:themeColor="text1"/>
          <w:szCs w:val="21"/>
          <w:lang w:val="en-US" w:eastAsia="zh-CN"/>
          <w14:textFill>
            <w14:solidFill>
              <w14:schemeClr w14:val="tx1"/>
            </w14:solidFill>
          </w14:textFill>
        </w:rPr>
      </w:pP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rPr>
          <w:rFonts w:hint="eastAsia" w:ascii="宋体" w:hAnsi="宋体" w:eastAsia="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不涉及</w:t>
      </w:r>
      <w:r/>
    </w:p>
    <w:p>
      <w:pPr>
        <w:numPr>
          <w:ilvl w:val="0"/>
          <w:numId w:val="19"/>
        </w:numPr>
        <w:ind w:firstLine="420"/>
        <w:spacing w:before="0"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left="0" w:firstLine="0"/>
        <w:spacing w:before="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分包金额</w:t>
      </w:r>
      <w:r>
        <w:rPr>
          <w:rFonts w:hint="eastAsia" w:ascii="宋体" w:hAnsi="宋体"/>
          <w:color w:val="000000" w:themeColor="text1"/>
          <w:szCs w:val="21"/>
          <w:lang w:eastAsia="zh-CN"/>
          <w14:textFill>
            <w14:solidFill>
              <w14:schemeClr w14:val="tx1"/>
            </w14:solidFill>
          </w14:textFill>
        </w:rPr>
        <w:t xml:space="preserve">（如有）</w:t>
      </w:r>
      <w:r>
        <w:rPr>
          <w:rFonts w:hint="eastAsia" w:ascii="宋体" w:hAnsi="宋体"/>
          <w:color w:val="000000" w:themeColor="text1"/>
          <w:szCs w:val="21"/>
          <w14:textFill>
            <w14:solidFill>
              <w14:schemeClr w14:val="tx1"/>
            </w14:solidFill>
          </w14:textFill>
        </w:rPr>
        <w:t xml:space="preserve">小写：</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（注：固定单价合同应填写单价和最高限价）</w:t>
      </w:r>
      <w:r/>
    </w:p>
    <w:p>
      <w:pPr>
        <w:numPr>
          <w:ilvl w:val="-1"/>
          <w:numId w:val="0"/>
        </w:numPr>
        <w:ind w:firstLine="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合同定价方式</w:t>
      </w:r>
      <w:r>
        <w:rPr>
          <w:rFonts w:hint="eastAsia" w:ascii="宋体" w:hAnsi="宋体"/>
          <w:color w:val="000000" w:themeColor="text1"/>
          <w:szCs w:val="21"/>
          <w:lang w:eastAsia="zh-CN"/>
          <w14:textFill>
            <w14:solidFill>
              <w14:schemeClr w14:val="tx1"/>
            </w14:solidFill>
          </w14:textFill>
        </w:rPr>
        <w:t xml:space="preserve">（采用组合定价方式的，可以勾选多项）</w:t>
      </w:r>
      <w:r>
        <w:rPr>
          <w:rFonts w:hint="eastAsia" w:ascii="宋体" w:hAnsi="宋体"/>
          <w:color w:val="000000" w:themeColor="text1"/>
          <w:szCs w:val="21"/>
          <w14:textFill>
            <w14:solidFill>
              <w14:schemeClr w14:val="tx1"/>
            </w14:solidFill>
          </w14:textFill>
        </w:rPr>
        <w:t xml:space="preserve">：</w:t>
      </w:r>
      <w:r/>
    </w:p>
    <w:p>
      <w:pPr>
        <w:ind w:firstLine="420"/>
        <w:spacing w:before="0" w:line="400" w:lineRule="exact"/>
        <w:rPr>
          <w:rFonts w:hint="eastAsia" w:ascii="宋体" w:hAnsi="宋体" w:eastAsia="宋体"/>
          <w:color w:val="000000" w:themeColor="text1"/>
          <w:szCs w:val="21"/>
          <w:lang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固定费率</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249"/>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9"/>
        </w:numPr>
        <w:ind w:firstLine="420"/>
        <w:spacing w:before="0" w:line="400" w:lineRule="exact"/>
        <w:rPr>
          <w:rFonts w:ascii="宋体" w:hAnsi="宋体"/>
          <w:b/>
          <w:bCs w:val="0"/>
          <w:color w:val="000000" w:themeColor="text1"/>
          <w:szCs w:val="21"/>
          <w:u w:val="single"/>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合同履行</w:t>
      </w:r>
      <w:r/>
    </w:p>
    <w:p>
      <w:pPr>
        <w:ind w:firstLine="420"/>
        <w:spacing w:before="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履约</w:t>
      </w: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宋体"/>
          <w:b w:val="0"/>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1256"/>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以支票、汇票、本票、保函等非现金形式缴纳或提交；</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56"/>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收取履约保证金金额：</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合同价款的10%。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履约担保期限：</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在合同期满后30天内且中标人无任何违约或违法行为，由采购人无息退还给中标人 </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56"/>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中标人在签订合同后5个工作日内，向采购人提交履约保证金；</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56"/>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与供方提交履约保证金的方式相同。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56"/>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lang w:eastAsia="zh-CN"/>
          <w14:textFill>
            <w14:solidFill>
              <w14:schemeClr w14:val="tx1"/>
            </w14:solidFill>
          </w14:textFill>
        </w:rPr>
        <w:t xml:space="preserve">风险处置措施和替代方案</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19"/>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21"/>
        </w:num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numPr>
          <w:ilvl w:val="0"/>
          <w:numId w:val="0"/>
        </w:numPr>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验收主体：</w:t>
      </w:r>
      <w:r>
        <w:rPr>
          <w:rFonts w:hint="eastAsia" w:ascii="宋体" w:hAnsi="宋体"/>
          <w:bCs/>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是否邀请本项目的其他供应商</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w:t>
      </w:r>
      <w:r>
        <w:rPr>
          <w:rFonts w:hint="eastAsia" w:ascii="宋体" w:hAnsi="宋体"/>
          <w:bCs/>
          <w:color w:val="000000" w:themeColor="text1"/>
          <w:szCs w:val="21"/>
          <w:lang w:eastAsia="zh-CN"/>
          <w14:textFill>
            <w14:solidFill>
              <w14:schemeClr w14:val="tx1"/>
            </w14:solidFill>
          </w14:textFill>
        </w:rPr>
        <w:t xml:space="preserve">，抽查比例：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eastAsia="宋体"/>
          <w:bCs/>
          <w:color w:val="000000" w:themeColor="text1"/>
          <w:szCs w:val="21"/>
          <w:u w:val="single"/>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lang w:eastAsia="zh-CN"/>
          <w14:textFill>
            <w14:solidFill>
              <w14:schemeClr w14:val="tx1"/>
            </w14:solidFill>
          </w14:textFill>
        </w:rPr>
        <w:t xml:space="preserve">，</w:t>
      </w:r>
      <w:r>
        <w:rPr>
          <w:rFonts w:hint="eastAsia" w:ascii="宋体" w:hAnsi="宋体" w:eastAsia="宋体"/>
          <w:bCs/>
          <w:color w:val="000000" w:themeColor="text1"/>
          <w:szCs w:val="21"/>
          <w:u w:val="single"/>
          <w:lang w:eastAsia="zh-CN"/>
          <w14:textFill>
            <w14:solidFill>
              <w14:schemeClr w14:val="tx1"/>
            </w14:solidFill>
          </w14:textFill>
        </w:rPr>
        <w:t xml:space="preserve">（应明确对被破坏的检测产品的处理方式）</w:t>
      </w:r>
      <w:r/>
    </w:p>
    <w:p>
      <w:pPr>
        <w:ind w:firstLine="840"/>
        <w:spacing w:before="0" w:line="40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一次性验收         </w:t>
      </w:r>
      <w:r/>
    </w:p>
    <w:p>
      <w:pPr>
        <w:ind w:firstLine="0"/>
        <w:spacing w:before="0" w:line="400" w:lineRule="exact"/>
        <w:rPr>
          <w:rFonts w:hint="eastAsia" w:ascii="宋体" w:hAnsi="宋体" w:eastAsia="宋体"/>
          <w:bCs/>
          <w:color w:val="000000" w:themeColor="text1"/>
          <w:szCs w:val="21"/>
          <w:lang w:val="en-US"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（应明确分期</w:t>
      </w:r>
      <w:r>
        <w:rPr>
          <w:rFonts w:hint="default" w:ascii="宋体" w:hAnsi="宋体"/>
          <w:bCs/>
          <w:color w:val="000000" w:themeColor="text1"/>
          <w:szCs w:val="21"/>
          <w:u w:val="single"/>
          <w:lang w:val="en" w:eastAsia="zh-CN"/>
          <w14:textFill>
            <w14:solidFill>
              <w14:schemeClr w14:val="tx1"/>
            </w14:solidFill>
          </w14:textFill>
        </w:rPr>
        <w:t xml:space="preserve">/</w:t>
      </w:r>
      <w:r>
        <w:rPr>
          <w:rFonts w:hint="eastAsia" w:ascii="宋体" w:hAnsi="宋体"/>
          <w:bCs/>
          <w:color w:val="000000" w:themeColor="text1"/>
          <w:szCs w:val="21"/>
          <w:u w:val="single"/>
          <w:lang w:val="en" w:eastAsia="zh-CN"/>
          <w14:textFill>
            <w14:solidFill>
              <w14:schemeClr w14:val="tx1"/>
            </w14:solidFill>
          </w14:textFill>
        </w:rPr>
        <w:t xml:space="preserve">分项验收的工作安排</w:t>
      </w:r>
      <w:r>
        <w:rPr>
          <w:rFonts w:hint="eastAsia" w:ascii="宋体" w:hAnsi="宋体"/>
          <w:bCs/>
          <w:color w:val="000000" w:themeColor="text1"/>
          <w:szCs w:val="21"/>
          <w:u w:val="single"/>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（应当包括每一项技术和商务要求的履约情况，特别是落实政府采购扶持中小企业，支持绿色发展和乡村振兴等政策情况）</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256"/>
        <w:rPr>
          <w:rFonts w:hint="eastAsia" w:ascii="宋体" w:hAnsi="宋体" w:eastAsia="宋体" w:cs="宋体"/>
          <w:color w:val="000000" w:themeColor="text1"/>
          <w:sz w:val="21"/>
          <w:lang w:eastAsia="zh-CN"/>
          <w14:textFill>
            <w14:solidFill>
              <w14:schemeClr w14:val="tx1"/>
            </w14:solidFill>
          </w14:textFill>
        </w:rPr>
      </w:pPr>
      <w:r>
        <w:rPr>
          <w:rFonts w:hint="eastAsia" w:ascii="宋体" w:hAnsi="宋体" w:eastAsia="宋体" w:cs="宋体"/>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u w:val="none"/>
          <w:lang w:eastAsia="zh-CN"/>
          <w14:textFill>
            <w14:solidFill>
              <w14:schemeClr w14:val="tx1"/>
            </w14:solidFill>
          </w14:textFill>
        </w:rPr>
        <w:t xml:space="preserve">）是否以采购活动中供应商提供的样品作为参考：</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firstLine="420"/>
        <w:spacing w:before="0"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val="0"/>
          <w:iCs w:val="0"/>
          <w:color w:val="000000" w:themeColor="text1"/>
          <w:szCs w:val="21"/>
          <w:u w:val="single"/>
          <w14:textFill>
            <w14:solidFill>
              <w14:schemeClr w14:val="tx1"/>
            </w14:solidFill>
          </w14:textFill>
        </w:rPr>
        <w:t xml:space="preserve">（产权过户登记等）</w:t>
      </w:r>
      <w:r>
        <w:rPr>
          <w:rFonts w:hint="eastAsia" w:ascii="宋体" w:hAnsi="宋体" w:cs="宋体"/>
          <w:bCs/>
          <w:color w:val="000000" w:themeColor="text1"/>
          <w:szCs w:val="21"/>
          <w:u w:val="single"/>
          <w14:textFill>
            <w14:solidFill>
              <w14:schemeClr w14:val="tx1"/>
            </w14:solidFill>
          </w14:textFill>
        </w:rPr>
        <w:t xml:space="preserve">          </w:t>
      </w:r>
      <w:r/>
    </w:p>
    <w:p>
      <w:pPr>
        <w:numPr>
          <w:ilvl w:val="0"/>
          <w:numId w:val="19"/>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eastAsia="zh-CN"/>
          <w14:textFill>
            <w14:solidFill>
              <w14:schemeClr w14:val="tx1"/>
            </w14:solidFill>
          </w14:textFill>
        </w:rPr>
        <w:t xml:space="preserve">政府采购</w:t>
      </w:r>
      <w:r>
        <w:rPr>
          <w:rFonts w:hint="eastAsia" w:ascii="宋体" w:hAnsi="宋体"/>
          <w:color w:val="000000" w:themeColor="text1"/>
          <w:szCs w:val="21"/>
          <w14:textFill>
            <w14:solidFill>
              <w14:schemeClr w14:val="tx1"/>
            </w14:solidFill>
          </w14:textFill>
        </w:rPr>
        <w:t xml:space="preserve">合同协议书及其变更、补充</w:t>
      </w:r>
      <w:r>
        <w:rPr>
          <w:rFonts w:hint="eastAsia" w:ascii="宋体" w:hAnsi="宋体"/>
          <w:color w:val="000000" w:themeColor="text1"/>
          <w:szCs w:val="21"/>
          <w:lang w:eastAsia="zh-CN"/>
          <w14:textFill>
            <w14:solidFill>
              <w14:schemeClr w14:val="tx1"/>
            </w14:solidFill>
          </w14:textFill>
        </w:rPr>
        <w:t xml:space="preserve">协议</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）政府采购合同专用条款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）政府采购合同通用条款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）中标</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通知书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）投标（响应）文件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256"/>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9"/>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themeColor="text1"/>
          <w:szCs w:val="21"/>
          <w14:textFill>
            <w14:solidFill>
              <w14:schemeClr w14:val="tx1"/>
            </w14:solidFill>
          </w14:textFill>
        </w:rPr>
        <w:t xml:space="preserve">生效。</w:t>
      </w:r>
      <w:r/>
    </w:p>
    <w:p>
      <w:pPr>
        <w:numPr>
          <w:ilvl w:val="0"/>
          <w:numId w:val="19"/>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before="0"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w:t>
      </w:r>
      <w:r>
        <w:rPr>
          <w:rFonts w:hint="eastAsia" w:ascii="宋体" w:hAnsi="宋体"/>
          <w:color w:val="000000" w:themeColor="text1"/>
          <w:szCs w:val="21"/>
          <w:lang w:eastAsia="zh-CN"/>
          <w14:textFill>
            <w14:solidFill>
              <w14:schemeClr w14:val="tx1"/>
            </w14:solidFill>
          </w14:textFill>
        </w:rPr>
        <w:t xml:space="preserve">的及其</w:t>
      </w:r>
      <w:r>
        <w:rPr>
          <w:rFonts w:hint="eastAsia" w:ascii="宋体" w:hAnsi="宋体"/>
          <w:color w:val="000000" w:themeColor="text1"/>
          <w:szCs w:val="21"/>
          <w:highlight w:val="none"/>
          <w:u w:val="none"/>
          <w:lang w:val="en-US" w:eastAsia="zh-CN"/>
          <w14:textFill>
            <w14:solidFill>
              <w14:schemeClr w14:val="tx1"/>
            </w14:solidFill>
          </w14:textFill>
        </w:rPr>
        <w:t xml:space="preserve">技术要求和商务要求</w:t>
      </w:r>
      <w:r>
        <w:rPr>
          <w:rFonts w:hint="eastAsia" w:ascii="宋体" w:hAnsi="宋体"/>
          <w:color w:val="000000" w:themeColor="text1"/>
          <w:szCs w:val="21"/>
          <w14:textFill>
            <w14:solidFill>
              <w14:schemeClr w14:val="tx1"/>
            </w14:solidFill>
          </w14:textFill>
        </w:rPr>
        <w:t xml:space="preserve">、联合协议、分包</w:t>
      </w:r>
      <w:r>
        <w:rPr>
          <w:rFonts w:hint="eastAsia" w:ascii="宋体" w:hAnsi="宋体"/>
          <w:color w:val="000000" w:themeColor="text1"/>
          <w:szCs w:val="21"/>
          <w:lang w:eastAsia="zh-CN"/>
          <w14:textFill>
            <w14:solidFill>
              <w14:schemeClr w14:val="tx1"/>
            </w14:solidFill>
          </w14:textFill>
        </w:rPr>
        <w:t xml:space="preserve">意向</w:t>
      </w:r>
      <w:r>
        <w:rPr>
          <w:rFonts w:hint="eastAsia" w:ascii="宋体" w:hAnsi="宋体"/>
          <w:color w:val="000000" w:themeColor="text1"/>
          <w:szCs w:val="21"/>
          <w14:textFill>
            <w14:solidFill>
              <w14:schemeClr w14:val="tx1"/>
            </w14:solidFill>
          </w14:textFill>
        </w:rPr>
        <w:t xml:space="preserve">协议等。</w:t>
      </w:r>
      <w:r/>
    </w:p>
    <w:p>
      <w:pPr>
        <w:pStyle w:val="1249"/>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1226"/>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default"/>
          <w:color w:val="000000" w:themeColor="text1"/>
          <w:lang w:val="en"/>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124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122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1234"/>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1226"/>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b w:val="0"/>
          <w:bCs w:val="0"/>
          <w:color w:val="000000" w:themeColor="text1"/>
          <w:sz w:val="28"/>
          <w:szCs w:val="28"/>
          <w14:textFill>
            <w14:solidFill>
              <w14:schemeClr w14:val="tx1"/>
            </w14:solidFill>
          </w14:textFill>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w:t>
      </w:r>
      <w:r>
        <w:rPr>
          <w:rFonts w:hint="eastAsia" w:ascii="宋体" w:hAnsi="宋体" w:eastAsia="宋体" w:cs="宋体"/>
          <w:b/>
          <w:color w:val="000000" w:themeColor="text1"/>
          <w:sz w:val="24"/>
          <w:lang w:val="en-US" w:eastAsia="zh-CN"/>
          <w14:textFill>
            <w14:solidFill>
              <w14:schemeClr w14:val="tx1"/>
            </w14:solidFill>
          </w14:textFill>
        </w:rPr>
        <w:t xml:space="preserve">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（1）采购人（以下称甲方）是指使用财政性资金，通过政府采购方式向供应商购买货物</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及其相关服务的</w:t>
      </w:r>
      <w:r>
        <w:rPr>
          <w:rFonts w:hint="eastAsia" w:ascii="宋体" w:hAnsi="宋体" w:eastAsia="宋体" w:cs="宋体"/>
          <w:color w:val="000000" w:themeColor="text1"/>
          <w:szCs w:val="21"/>
          <w:highlight w:val="none"/>
          <w14:textFill>
            <w14:solidFill>
              <w14:schemeClr w14:val="tx1"/>
            </w14:solidFill>
          </w14:textFill>
        </w:rPr>
        <w:t xml:space="preserve">国家机关、事业单位、团体组织。</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（2）供应商（以下称</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方）是指参加政府采购活动并且中标（成交），向采购人提供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合同约定的货物及其相关服务的法人、非法人组织或者自然人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1.2本合同下列术语应解释为：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lang w:eastAsia="zh-CN"/>
          <w14:textFill>
            <w14:solidFill>
              <w14:schemeClr w14:val="tx1"/>
            </w14:solidFill>
          </w14:textFill>
        </w:rPr>
        <w:t xml:space="preserve">政府采购</w:t>
      </w:r>
      <w:r>
        <w:rPr>
          <w:rFonts w:hint="eastAsia" w:ascii="宋体" w:hAnsi="宋体" w:eastAsia="宋体" w:cs="宋体"/>
          <w:color w:val="000000" w:themeColor="text1"/>
          <w:szCs w:val="21"/>
          <w14:textFill>
            <w14:solidFill>
              <w14:schemeClr w14:val="tx1"/>
            </w14:solidFill>
          </w14:textFill>
        </w:rPr>
        <w:t xml:space="preserve">合同协议书及其变更、补充</w:t>
      </w:r>
      <w:r>
        <w:rPr>
          <w:rFonts w:hint="eastAsia" w:ascii="宋体" w:hAnsi="宋体" w:eastAsia="宋体" w:cs="宋体"/>
          <w:color w:val="000000" w:themeColor="text1"/>
          <w:szCs w:val="21"/>
          <w:lang w:eastAsia="zh-CN"/>
          <w14:textFill>
            <w14:solidFill>
              <w14:schemeClr w14:val="tx1"/>
            </w14:solidFill>
          </w14:textFill>
        </w:rPr>
        <w:t xml:space="preserve">协议，</w:t>
      </w:r>
      <w:r>
        <w:rPr>
          <w:rFonts w:hint="eastAsia" w:ascii="宋体" w:hAnsi="宋体" w:eastAsia="宋体" w:cs="宋体"/>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政府采购合同通用条款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中标</w:t>
      </w:r>
      <w:r>
        <w:rPr>
          <w:rFonts w:hint="eastAsia" w:ascii="宋体" w:hAnsi="宋体" w:eastAsia="宋体" w:cs="宋体"/>
          <w:color w:val="000000" w:themeColor="text1"/>
          <w:szCs w:val="21"/>
          <w:lang w:eastAsia="zh-CN"/>
          <w14:textFill>
            <w14:solidFill>
              <w14:schemeClr w14:val="tx1"/>
            </w14:solidFill>
          </w14:textFill>
        </w:rPr>
        <w:t xml:space="preserve">（成交）</w:t>
      </w:r>
      <w:r>
        <w:rPr>
          <w:rFonts w:hint="eastAsia" w:ascii="宋体" w:hAnsi="宋体" w:eastAsia="宋体" w:cs="宋体"/>
          <w:color w:val="000000" w:themeColor="text1"/>
          <w:szCs w:val="21"/>
          <w14:textFill>
            <w14:solidFill>
              <w14:schemeClr w14:val="tx1"/>
            </w14:solidFill>
          </w14:textFill>
        </w:rPr>
        <w:t xml:space="preserve">通知书</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投标（响应）文件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采购文件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有关技术文件</w:t>
      </w:r>
      <w:r>
        <w:rPr>
          <w:rFonts w:hint="eastAsia" w:ascii="宋体" w:hAnsi="宋体" w:eastAsia="宋体" w:cs="宋体"/>
          <w:color w:val="000000" w:themeColor="text1"/>
          <w:szCs w:val="21"/>
          <w:lang w:eastAsia="zh-CN"/>
          <w14:textFill>
            <w14:solidFill>
              <w14:schemeClr w14:val="tx1"/>
            </w14:solidFill>
          </w14:textFill>
        </w:rPr>
        <w:t xml:space="preserve">和</w:t>
      </w:r>
      <w:r>
        <w:rPr>
          <w:rFonts w:hint="eastAsia" w:ascii="宋体" w:hAnsi="宋体" w:eastAsia="宋体" w:cs="宋体"/>
          <w:color w:val="000000" w:themeColor="text1"/>
          <w:szCs w:val="21"/>
          <w14:textFill>
            <w14:solidFill>
              <w14:schemeClr w14:val="tx1"/>
            </w14:solidFill>
          </w14:textFill>
        </w:rPr>
        <w:t xml:space="preserve">图纸</w:t>
      </w:r>
      <w:r>
        <w:rPr>
          <w:rFonts w:hint="eastAsia" w:ascii="宋体" w:hAnsi="宋体" w:eastAsia="宋体" w:cs="宋体"/>
          <w:color w:val="000000" w:themeColor="text1"/>
          <w:szCs w:val="21"/>
          <w:lang w:eastAsia="zh-CN"/>
          <w14:textFill>
            <w14:solidFill>
              <w14:schemeClr w14:val="tx1"/>
            </w14:solidFill>
          </w14:textFill>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“联合体”系指</w:t>
      </w:r>
      <w:r>
        <w:rPr>
          <w:rFonts w:hint="eastAsia" w:ascii="宋体" w:hAnsi="宋体" w:eastAsia="宋体" w:cs="宋体"/>
          <w:color w:val="000000" w:themeColor="text1"/>
          <w:szCs w:val="21"/>
          <w:lang w:eastAsia="zh-CN"/>
          <w14:textFill>
            <w14:solidFill>
              <w14:schemeClr w14:val="tx1"/>
            </w14:solidFill>
          </w14:textFill>
        </w:rPr>
        <w:t xml:space="preserve">由</w:t>
      </w:r>
      <w:r>
        <w:rPr>
          <w:rFonts w:hint="eastAsia" w:ascii="宋体" w:hAnsi="宋体" w:eastAsia="宋体" w:cs="宋体"/>
          <w:color w:val="000000" w:themeColor="text1"/>
          <w:szCs w:val="21"/>
          <w14:textFill>
            <w14:solidFill>
              <w14:schemeClr w14:val="tx1"/>
            </w14:solidFill>
          </w14:textFill>
        </w:rPr>
        <w:t xml:space="preserve">两个以上的自然人、法人或者</w:t>
      </w:r>
      <w:r>
        <w:rPr>
          <w:rFonts w:hint="eastAsia" w:ascii="宋体" w:hAnsi="宋体" w:eastAsia="宋体" w:cs="宋体"/>
          <w:color w:val="000000" w:themeColor="text1"/>
          <w:szCs w:val="21"/>
          <w:lang w:val="en-US" w:eastAsia="zh-CN"/>
          <w14:textFill>
            <w14:solidFill>
              <w14:schemeClr w14:val="tx1"/>
            </w14:solidFill>
          </w14:textFill>
        </w:rPr>
        <w:t xml:space="preserve">非法人</w:t>
      </w:r>
      <w:r>
        <w:rPr>
          <w:rFonts w:hint="eastAsia" w:ascii="宋体" w:hAnsi="宋体" w:eastAsia="宋体" w:cs="宋体"/>
          <w:color w:val="000000" w:themeColor="text1"/>
          <w:szCs w:val="21"/>
          <w14:textFill>
            <w14:solidFill>
              <w14:schemeClr w14:val="tx1"/>
            </w14:solidFill>
          </w14:textFill>
        </w:rPr>
        <w:t xml:space="preserve">组织组成，</w:t>
      </w:r>
      <w:r>
        <w:rPr>
          <w:rFonts w:hint="eastAsia" w:ascii="宋体" w:hAnsi="宋体" w:eastAsia="宋体" w:cs="宋体"/>
          <w:color w:val="000000" w:themeColor="text1"/>
          <w:szCs w:val="21"/>
          <w:lang w:eastAsia="zh-CN"/>
          <w14:textFill>
            <w14:solidFill>
              <w14:schemeClr w14:val="tx1"/>
            </w14:solidFill>
          </w14:textFill>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0"/>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14:textFill>
            <w14:solidFill>
              <w14:schemeClr w14:val="tx1"/>
            </w14:solidFill>
          </w14:textFill>
        </w:rPr>
        <w:t xml:space="preserve">乙方应当在约定的时间、地点</w:t>
      </w:r>
      <w:r>
        <w:rPr>
          <w:rFonts w:hint="eastAsia" w:ascii="宋体" w:hAnsi="宋体" w:eastAsia="宋体" w:cs="宋体"/>
          <w:color w:val="000000" w:themeColor="text1"/>
          <w:szCs w:val="21"/>
          <w:lang w:eastAsia="zh-CN"/>
          <w14:textFill>
            <w14:solidFill>
              <w14:schemeClr w14:val="tx1"/>
            </w14:solidFill>
          </w14:textFill>
        </w:rPr>
        <w:t xml:space="preserve">，按照约定</w:t>
      </w:r>
      <w:r>
        <w:rPr>
          <w:rFonts w:hint="eastAsia" w:ascii="宋体" w:hAnsi="宋体" w:eastAsia="宋体" w:cs="宋体"/>
          <w:color w:val="000000" w:themeColor="text1"/>
          <w:szCs w:val="21"/>
          <w14:textFill>
            <w14:solidFill>
              <w14:schemeClr w14:val="tx1"/>
            </w14:solidFill>
          </w14:textFill>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231"/>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1231"/>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22"/>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eastAsia="zh-CN"/>
          <w14:textFill>
            <w14:solidFill>
              <w14:schemeClr w14:val="tx1"/>
            </w14:solidFill>
          </w14:textFill>
        </w:rPr>
        <w:t xml:space="preserve">涉及</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themeColor="text1"/>
          <w:szCs w:val="21"/>
          <w14:textFill>
            <w14:solidFill>
              <w14:schemeClr w14:val="tx1"/>
            </w14:solidFill>
          </w14:textFill>
        </w:rPr>
        <w:t xml:space="preserve">乙方在运输到达之前</w:t>
      </w:r>
      <w:r>
        <w:rPr>
          <w:rFonts w:hint="eastAsia" w:ascii="宋体" w:hAnsi="宋体" w:eastAsia="宋体" w:cs="宋体"/>
          <w:color w:val="000000" w:themeColor="text1"/>
          <w:szCs w:val="21"/>
          <w:lang w:eastAsia="zh-CN"/>
          <w14:textFill>
            <w14:solidFill>
              <w14:schemeClr w14:val="tx1"/>
            </w14:solidFill>
          </w14:textFill>
        </w:rPr>
        <w:t xml:space="preserve">应</w:t>
      </w:r>
      <w:r>
        <w:rPr>
          <w:rFonts w:hint="eastAsia" w:ascii="宋体" w:hAnsi="宋体" w:eastAsia="宋体" w:cs="宋体"/>
          <w:color w:val="000000" w:themeColor="text1"/>
          <w:szCs w:val="21"/>
          <w14:textFill>
            <w14:solidFill>
              <w14:schemeClr w14:val="tx1"/>
            </w14:solidFill>
          </w14:textFill>
        </w:rPr>
        <w:t xml:space="preserve">提前通知</w:t>
      </w:r>
      <w:r>
        <w:rPr>
          <w:rFonts w:hint="eastAsia" w:ascii="宋体" w:hAnsi="宋体" w:eastAsia="宋体" w:cs="宋体"/>
          <w:color w:val="000000" w:themeColor="text1"/>
          <w:szCs w:val="21"/>
          <w:lang w:eastAsia="zh-CN"/>
          <w14:textFill>
            <w14:solidFill>
              <w14:schemeClr w14:val="tx1"/>
            </w14:solidFill>
          </w14:textFill>
        </w:rPr>
        <w:t xml:space="preserve">甲方</w:t>
      </w:r>
      <w:r>
        <w:rPr>
          <w:rFonts w:hint="eastAsia" w:ascii="宋体" w:hAnsi="宋体" w:eastAsia="宋体" w:cs="宋体"/>
          <w:color w:val="000000" w:themeColor="text1"/>
          <w:szCs w:val="21"/>
          <w14:textFill>
            <w14:solidFill>
              <w14:schemeClr w14:val="tx1"/>
            </w14:solidFill>
          </w14:textFill>
        </w:rPr>
        <w:t xml:space="preserve">，并提示货物运输装卸的注意事项</w:t>
      </w:r>
      <w:r>
        <w:rPr>
          <w:rFonts w:hint="eastAsia" w:ascii="宋体" w:hAnsi="宋体" w:eastAsia="宋体" w:cs="宋体"/>
          <w:color w:val="000000" w:themeColor="text1"/>
          <w:szCs w:val="21"/>
          <w:lang w:eastAsia="zh-CN"/>
          <w14:textFill>
            <w14:solidFill>
              <w14:schemeClr w14:val="tx1"/>
            </w14:solidFill>
          </w14:textFill>
        </w:rPr>
        <w:t xml:space="preserve">，甲方配合乙方做好货物的接收工作。</w:t>
      </w:r>
      <w:r/>
    </w:p>
    <w:p>
      <w:pPr>
        <w:pStyle w:val="1256"/>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themeColor="text1"/>
          <w:sz w:val="21"/>
          <w:szCs w:val="21"/>
          <w:highlight w:val="none"/>
          <w14:textFill>
            <w14:solidFill>
              <w14:schemeClr w14:val="tx1"/>
            </w14:solidFill>
          </w14:textFill>
        </w:rPr>
        <w:t xml:space="preserve">如因包装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、运输</w:t>
      </w:r>
      <w:r>
        <w:rPr>
          <w:rFonts w:hint="eastAsia" w:ascii="宋体" w:hAnsi="宋体" w:eastAsia="宋体" w:cs="宋体"/>
          <w:color w:val="000000" w:themeColor="text1"/>
          <w:sz w:val="21"/>
          <w:szCs w:val="21"/>
          <w:highlight w:val="none"/>
          <w14:textFill>
            <w14:solidFill>
              <w14:schemeClr w14:val="tx1"/>
            </w14:solidFill>
          </w14:textFill>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themeColor="text1"/>
          <w:sz w:val="21"/>
          <w:szCs w:val="21"/>
          <w:highlight w:val="none"/>
          <w14:textFill>
            <w14:solidFill>
              <w14:schemeClr w14:val="tx1"/>
            </w14:solidFill>
          </w14:textFill>
        </w:rPr>
        <w:t xml:space="preserve">或者品质下降，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有权要求降价、换货、拒收部分或整批货物，由此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产生</w:t>
      </w:r>
      <w:r>
        <w:rPr>
          <w:rFonts w:hint="eastAsia" w:ascii="宋体" w:hAnsi="宋体" w:eastAsia="宋体" w:cs="宋体"/>
          <w:color w:val="000000" w:themeColor="text1"/>
          <w:sz w:val="21"/>
          <w:szCs w:val="21"/>
          <w:highlight w:val="none"/>
          <w14:textFill>
            <w14:solidFill>
              <w14:schemeClr w14:val="tx1"/>
            </w14:solidFill>
          </w14:textFill>
        </w:rPr>
        <w:t xml:space="preserve">的费用和损失，均由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质量标准和保证</w:t>
      </w:r>
      <w:r/>
    </w:p>
    <w:p>
      <w:pPr>
        <w:pStyle w:val="1237"/>
        <w:ind w:firstLine="420"/>
        <w:jc w:val="left"/>
        <w:spacing w:before="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.1 质量标准</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（1）本合同下</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Cs w:val="21"/>
          <w:lang w:eastAsia="zh-CN"/>
          <w14:textFill>
            <w14:solidFill>
              <w14:schemeClr w14:val="tx1"/>
            </w14:solidFill>
          </w14:textFill>
        </w:rPr>
        <w:t xml:space="preserve">约</w:t>
      </w:r>
      <w:r>
        <w:rPr>
          <w:rFonts w:hint="eastAsia" w:ascii="宋体" w:hAnsi="宋体" w:eastAsia="宋体" w:cs="宋体"/>
          <w:color w:val="000000" w:themeColor="text1"/>
          <w:szCs w:val="21"/>
          <w14:textFill>
            <w14:solidFill>
              <w14:schemeClr w14:val="tx1"/>
            </w14:solidFill>
          </w14:textFill>
        </w:rPr>
        <w:t xml:space="preserve">定的品牌、规格型号、技术性能、配置、质量、数量等要求。</w:t>
      </w:r>
      <w:r>
        <w:rPr>
          <w:rFonts w:hint="eastAsia" w:ascii="宋体" w:hAnsi="宋体" w:eastAsia="宋体" w:cs="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pStyle w:val="1237"/>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（2）采用中华人民共和国法定计量单位。</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的货物应符合国家有关安全、环保、卫生</w:t>
      </w:r>
      <w:r>
        <w:rPr>
          <w:rFonts w:hint="eastAsia" w:ascii="宋体" w:hAnsi="宋体" w:eastAsia="宋体" w:cs="宋体"/>
          <w:color w:val="000000" w:themeColor="text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规定。</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（4）乙方应向甲方提交所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货物的技术文件，包括相应的中文技术文件，如：产品目录、图纸、操作手册、使用说明、维护手册或服务指南</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文件应包装好随货物一同发运。</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保证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（1）乙方应保证</w:t>
      </w:r>
      <w:r>
        <w:rPr>
          <w:rFonts w:hint="eastAsia" w:ascii="宋体" w:hAnsi="宋体" w:eastAsia="宋体" w:cs="宋体"/>
          <w:color w:val="000000" w:themeColor="text1"/>
          <w:szCs w:val="21"/>
          <w:highlight w:val="none"/>
          <w:lang w:eastAsia="zh-CN"/>
          <w14:textFill>
            <w14:solidFill>
              <w14:schemeClr w14:val="tx1"/>
            </w14:solidFill>
          </w14:textFill>
        </w:rPr>
        <w:t xml:space="preserve">提供的货物</w:t>
      </w:r>
      <w:r>
        <w:rPr>
          <w:rFonts w:hint="eastAsia" w:ascii="宋体" w:hAnsi="宋体" w:eastAsia="宋体" w:cs="宋体"/>
          <w:color w:val="000000" w:themeColor="text1"/>
          <w:szCs w:val="21"/>
          <w:highlight w:val="none"/>
          <w14:textFill>
            <w14:solidFill>
              <w14:schemeClr w14:val="tx1"/>
            </w14:solidFill>
          </w14:textFill>
        </w:rPr>
        <w:t xml:space="preserve">完全符合合同规定的质量、规格和性能要求。乙方应保证货物在正确安装、正常使用和保养条件下，</w:t>
      </w:r>
      <w:r>
        <w:rPr>
          <w:rFonts w:hint="eastAsia" w:ascii="宋体" w:hAnsi="宋体" w:eastAsia="宋体" w:cs="宋体"/>
          <w:color w:val="000000" w:themeColor="text1"/>
          <w:szCs w:val="21"/>
          <w14:textFill>
            <w14:solidFill>
              <w14:schemeClr w14:val="tx1"/>
            </w14:solidFill>
          </w14:textFill>
        </w:rPr>
        <w:t xml:space="preserve">在其使用寿命期内具</w:t>
      </w:r>
      <w:r>
        <w:rPr>
          <w:rFonts w:hint="eastAsia" w:ascii="宋体" w:hAnsi="宋体" w:eastAsia="宋体" w:cs="宋体"/>
          <w:color w:val="000000" w:themeColor="text1"/>
          <w:szCs w:val="21"/>
          <w:lang w:eastAsia="zh-CN"/>
          <w14:textFill>
            <w14:solidFill>
              <w14:schemeClr w14:val="tx1"/>
            </w14:solidFill>
          </w14:textFill>
        </w:rPr>
        <w:t xml:space="preserve">备合同约定</w:t>
      </w:r>
      <w:r>
        <w:rPr>
          <w:rFonts w:hint="eastAsia" w:ascii="宋体" w:hAnsi="宋体" w:eastAsia="宋体" w:cs="宋体"/>
          <w:color w:val="000000" w:themeColor="text1"/>
          <w:szCs w:val="21"/>
          <w14:textFill>
            <w14:solidFill>
              <w14:schemeClr w14:val="tx1"/>
            </w14:solidFill>
          </w14:textFill>
        </w:rPr>
        <w:t xml:space="preserve">的性能</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存在</w:t>
      </w:r>
      <w:r>
        <w:rPr>
          <w:rFonts w:hint="eastAsia" w:ascii="宋体" w:hAnsi="宋体" w:eastAsia="宋体" w:cs="宋体"/>
          <w:color w:val="000000" w:themeColor="text1"/>
          <w:szCs w:val="21"/>
          <w:highlight w:val="none"/>
          <w14:textFill>
            <w14:solidFill>
              <w14:schemeClr w14:val="tx1"/>
            </w14:solidFill>
          </w14:textFill>
        </w:rPr>
        <w:t xml:space="preserve">质量保证期的，货物最终交付验收</w:t>
      </w:r>
      <w:r>
        <w:rPr>
          <w:rFonts w:hint="eastAsia" w:ascii="宋体" w:hAnsi="宋体" w:eastAsia="宋体" w:cs="宋体"/>
          <w:color w:val="000000" w:themeColor="text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Cs w:val="21"/>
          <w:highlight w:val="none"/>
          <w14:textFill>
            <w14:solidFill>
              <w14:schemeClr w14:val="tx1"/>
            </w14:solidFill>
          </w14:textFill>
        </w:rPr>
        <w:t xml:space="preserve">后</w:t>
      </w:r>
      <w:r>
        <w:rPr>
          <w:rFonts w:hint="eastAsia" w:ascii="宋体" w:hAnsi="宋体" w:eastAsia="宋体" w:cs="宋体"/>
          <w:color w:val="000000" w:themeColor="text1"/>
          <w:szCs w:val="21"/>
          <w:highlight w:val="none"/>
          <w:lang w:eastAsia="zh-CN"/>
          <w14:textFill>
            <w14:solidFill>
              <w14:schemeClr w14:val="tx1"/>
            </w14:solidFill>
          </w14:textFill>
        </w:rPr>
        <w:t xml:space="preserve">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规定或乙方</w:t>
      </w:r>
      <w:r>
        <w:rPr>
          <w:rFonts w:hint="eastAsia" w:ascii="宋体" w:hAnsi="宋体" w:eastAsia="宋体" w:cs="宋体"/>
          <w:color w:val="000000" w:themeColor="text1"/>
          <w:szCs w:val="21"/>
          <w:highlight w:val="none"/>
          <w:lang w:eastAsia="zh-CN"/>
          <w14:textFill>
            <w14:solidFill>
              <w14:schemeClr w14:val="tx1"/>
            </w14:solidFill>
          </w14:textFill>
        </w:rPr>
        <w:t xml:space="preserve">书面</w:t>
      </w:r>
      <w:r>
        <w:rPr>
          <w:rFonts w:hint="eastAsia" w:ascii="宋体" w:hAnsi="宋体" w:eastAsia="宋体" w:cs="宋体"/>
          <w:color w:val="000000" w:themeColor="text1"/>
          <w:szCs w:val="21"/>
          <w:highlight w:val="none"/>
          <w14:textFill>
            <w14:solidFill>
              <w14:schemeClr w14:val="tx1"/>
            </w14:solidFill>
          </w14:textFill>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（3）乙方收到通知后</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应在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对乙方行使的其他权利不受影响。</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乙方对其所销售的货物应当享有知识产权或经权利人合法授权，保证没有侵犯任何第三人的知识产权等权利。</w:t>
      </w:r>
      <w:bookmarkStart w:id="27"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7"/>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保密义务</w:t>
      </w:r>
      <w:r/>
    </w:p>
    <w:p>
      <w:pPr>
        <w:ind w:firstLine="420"/>
        <w:jc w:val="left"/>
        <w:spacing w:before="0" w:line="400" w:lineRule="exact"/>
        <w:rPr>
          <w:rFonts w:hint="eastAsia"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lang w:val="en-US" w:eastAsia="zh-CN"/>
          <w14:textFill>
            <w14:solidFill>
              <w14:schemeClr w14:val="tx1"/>
            </w14:solidFill>
          </w14:textFill>
        </w:rPr>
        <w:t xml:space="preserve">11.1 </w:t>
      </w:r>
      <w:r>
        <w:rPr>
          <w:rFonts w:hint="eastAsia" w:ascii="宋体" w:hAnsi="宋体" w:eastAsia="宋体" w:cs="宋体"/>
          <w:color w:val="000000" w:themeColor="text1"/>
          <w:szCs w:val="15"/>
          <w14:textFill>
            <w14:solidFill>
              <w14:schemeClr w14:val="tx1"/>
            </w14:solidFill>
          </w14:textFill>
        </w:rPr>
        <w:t xml:space="preserve">甲、乙双方</w:t>
      </w:r>
      <w:r>
        <w:rPr>
          <w:rFonts w:hint="eastAsia" w:ascii="宋体" w:hAnsi="宋体" w:eastAsia="宋体" w:cs="宋体"/>
          <w:color w:val="000000" w:themeColor="text1"/>
          <w:szCs w:val="15"/>
          <w:lang w:eastAsia="zh-CN"/>
          <w14:textFill>
            <w14:solidFill>
              <w14:schemeClr w14:val="tx1"/>
            </w14:solidFill>
          </w14:textFill>
        </w:rPr>
        <w:t xml:space="preserve">对</w:t>
      </w:r>
      <w:r>
        <w:rPr>
          <w:rFonts w:hint="eastAsia" w:ascii="宋体" w:hAnsi="宋体" w:eastAsia="宋体" w:cs="宋体"/>
          <w:color w:val="000000" w:themeColor="text1"/>
          <w:szCs w:val="15"/>
          <w14:textFill>
            <w14:solidFill>
              <w14:schemeClr w14:val="tx1"/>
            </w14:solidFill>
          </w14:textFill>
        </w:rPr>
        <w:t xml:space="preserve">采购和合同履行过程中所获悉的</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商业秘密或者其他应当保密的信息，均有保密义务</w:t>
      </w:r>
      <w:r>
        <w:rPr>
          <w:rFonts w:hint="eastAsia" w:ascii="宋体" w:hAnsi="宋体" w:eastAsia="宋体" w:cs="宋体"/>
          <w:color w:val="000000" w:themeColor="text1"/>
          <w:szCs w:val="15"/>
          <w:lang w:eastAsia="zh-CN"/>
          <w14:textFill>
            <w14:solidFill>
              <w14:schemeClr w14:val="tx1"/>
            </w14:solidFill>
          </w14:textFill>
        </w:rPr>
        <w:t xml:space="preserve">且不受合同有效期所限，直至该信息成为公开信息</w:t>
      </w:r>
      <w:r>
        <w:rPr>
          <w:rFonts w:hint="eastAsia" w:ascii="宋体" w:hAnsi="宋体" w:eastAsia="宋体" w:cs="宋体"/>
          <w:color w:val="000000" w:themeColor="text1"/>
          <w:szCs w:val="15"/>
          <w14:textFill>
            <w14:solidFill>
              <w14:schemeClr w14:val="tx1"/>
            </w14:solidFill>
          </w14:textFill>
        </w:rPr>
        <w:t xml:space="preserve">。泄露、不正当地使用</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w:t>
      </w:r>
      <w:r>
        <w:rPr>
          <w:rFonts w:hint="eastAsia" w:ascii="宋体" w:hAnsi="宋体" w:eastAsia="宋体" w:cs="宋体"/>
          <w:color w:val="000000" w:themeColor="text1"/>
          <w:szCs w:val="15"/>
          <w:lang w:eastAsia="zh-CN"/>
          <w14:textFill>
            <w14:solidFill>
              <w14:schemeClr w14:val="tx1"/>
            </w14:solidFill>
          </w14:textFill>
        </w:rPr>
        <w:t xml:space="preserve">其他应当保密的</w:t>
      </w:r>
      <w:r>
        <w:rPr>
          <w:rFonts w:hint="eastAsia" w:ascii="宋体" w:hAnsi="宋体" w:eastAsia="宋体" w:cs="宋体"/>
          <w:color w:val="000000" w:themeColor="text1"/>
          <w:szCs w:val="15"/>
          <w14:textFill>
            <w14:solidFill>
              <w14:schemeClr w14:val="tx1"/>
            </w14:solidFill>
          </w14:textFill>
        </w:rPr>
        <w:t xml:space="preserve">信息，应当承担</w:t>
      </w:r>
      <w:r>
        <w:rPr>
          <w:rFonts w:hint="eastAsia" w:ascii="宋体" w:hAnsi="宋体" w:eastAsia="宋体" w:cs="宋体"/>
          <w:color w:val="000000" w:themeColor="text1"/>
          <w:szCs w:val="15"/>
          <w:lang w:eastAsia="zh-CN"/>
          <w14:textFill>
            <w14:solidFill>
              <w14:schemeClr w14:val="tx1"/>
            </w14:solidFill>
          </w14:textFill>
        </w:rPr>
        <w:t xml:space="preserve">相应</w:t>
      </w:r>
      <w:r>
        <w:rPr>
          <w:rFonts w:hint="eastAsia" w:ascii="宋体" w:hAnsi="宋体" w:eastAsia="宋体" w:cs="宋体"/>
          <w:color w:val="000000" w:themeColor="text1"/>
          <w:szCs w:val="15"/>
          <w14:textFill>
            <w14:solidFill>
              <w14:schemeClr w14:val="tx1"/>
            </w14:solidFill>
          </w14:textFill>
        </w:rPr>
        <w:t xml:space="preserve">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合同价款支付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合同价款支付</w:t>
      </w:r>
      <w:r>
        <w:rPr>
          <w:rFonts w:hint="eastAsia" w:ascii="宋体" w:hAnsi="宋体" w:eastAsia="宋体" w:cs="宋体"/>
          <w:color w:val="000000" w:themeColor="text1"/>
          <w:szCs w:val="21"/>
          <w:highlight w:val="none"/>
          <w14:textFill>
            <w14:solidFill>
              <w14:schemeClr w14:val="tx1"/>
            </w14:solidFill>
          </w14:textFill>
        </w:rPr>
        <w:t xml:space="preserve">按照国库集中支付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制度及财政管理相关</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contextualSpacing/>
        <w:ind w:firstLine="42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合同签订生效且项目初验合格后，支付至签约合同金额的50%；项目终验合格且完成审计后，支付至最终审计结算金额的60%（含已支付的初验款）；项目终验完成并进入服务期后，剩余款项（即最终审计结算金额的40%）在5年服务期内按年等额支付，每年10月份考核评价当年服务得分，考核合格（60分）后支付最终审计结算金额的8%（具体以签订的合同为准）。每次付款前中标人需提交相应的付款发票，采购人原则上应当自收到发票后10个工作日内将资金支付到合同约定的供应商账户。若中标人未能按期开具发票，采购人可顺延付款。</w:t>
      </w:r>
      <w:r/>
    </w:p>
    <w:p>
      <w:pPr>
        <w:pStyle w:val="1231"/>
        <w:spacing w:after="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.2 如果乙方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出现</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15"/>
          <w:highlight w:val="none"/>
          <w:lang w:eastAsia="zh-CN"/>
          <w14:textFill>
            <w14:solidFill>
              <w14:schemeClr w14:val="tx1"/>
            </w14:solidFill>
          </w14:textFill>
        </w:rPr>
        <w:t xml:space="preserve">约定</w:t>
      </w:r>
      <w:r>
        <w:rPr>
          <w:rFonts w:hint="eastAsia" w:ascii="宋体" w:hAnsi="宋体" w:eastAsia="宋体" w:cs="宋体"/>
          <w:b w:val="0"/>
          <w:bCs w:val="0"/>
          <w:color w:val="000000" w:themeColor="text1"/>
          <w:szCs w:val="15"/>
          <w:lang w:eastAsia="zh-CN"/>
          <w14:textFill>
            <w14:solidFill>
              <w14:schemeClr w14:val="tx1"/>
            </w14:solidFill>
          </w14:textFill>
        </w:rPr>
        <w:t xml:space="preserve">情形的</w:t>
      </w:r>
      <w:r>
        <w:rPr>
          <w:rFonts w:hint="eastAsia" w:ascii="宋体" w:hAnsi="宋体" w:eastAsia="宋体" w:cs="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w:t>
      </w:r>
      <w:r>
        <w:rPr>
          <w:rFonts w:hint="eastAsia" w:ascii="宋体" w:hAnsi="宋体" w:eastAsia="宋体" w:cs="宋体"/>
          <w:color w:val="000000" w:themeColor="text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zCs w:val="21"/>
          <w:highlight w:val="none"/>
          <w14:textFill>
            <w14:solidFill>
              <w14:schemeClr w14:val="tx1"/>
            </w14:solidFill>
          </w14:textFill>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.3 甲方在项目通过验收后按照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规定支付。</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售后服务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（4）在制造商</w:t>
      </w:r>
      <w:r>
        <w:rPr>
          <w:rFonts w:hint="eastAsia" w:ascii="宋体" w:hAnsi="宋体" w:eastAsia="宋体" w:cs="宋体"/>
          <w:color w:val="000000" w:themeColor="text1"/>
          <w:szCs w:val="21"/>
          <w:highlight w:val="none"/>
          <w:lang w:eastAsia="zh-CN"/>
          <w14:textFill>
            <w14:solidFill>
              <w14:schemeClr w14:val="tx1"/>
            </w14:solidFill>
          </w14:textFill>
        </w:rPr>
        <w:t xml:space="preserve">所在地</w:t>
      </w:r>
      <w:r>
        <w:rPr>
          <w:rFonts w:hint="eastAsia" w:ascii="宋体" w:hAnsi="宋体" w:eastAsia="宋体" w:cs="宋体"/>
          <w:color w:val="000000" w:themeColor="text1"/>
          <w:szCs w:val="21"/>
          <w:highlight w:val="none"/>
          <w14:textFill>
            <w14:solidFill>
              <w14:schemeClr w14:val="tx1"/>
            </w14:solidFill>
          </w14:textFill>
        </w:rPr>
        <w:t xml:space="preserve">或</w:t>
      </w:r>
      <w:r>
        <w:rPr>
          <w:rFonts w:hint="eastAsia" w:ascii="宋体" w:hAnsi="宋体" w:eastAsia="宋体" w:cs="宋体"/>
          <w:color w:val="000000" w:themeColor="text1"/>
          <w:szCs w:val="21"/>
          <w:highlight w:val="none"/>
          <w:lang w:eastAsia="zh-CN"/>
          <w14:textFill>
            <w14:solidFill>
              <w14:schemeClr w14:val="tx1"/>
            </w14:solidFill>
          </w14:textFill>
        </w:rPr>
        <w:t xml:space="preserve">指定</w:t>
      </w:r>
      <w:r>
        <w:rPr>
          <w:rFonts w:hint="eastAsia" w:ascii="宋体" w:hAnsi="宋体" w:eastAsia="宋体" w:cs="宋体"/>
          <w:color w:val="000000" w:themeColor="text1"/>
          <w:szCs w:val="21"/>
          <w:highlight w:val="none"/>
          <w14:textFill>
            <w14:solidFill>
              <w14:schemeClr w14:val="tx1"/>
            </w14:solidFill>
          </w14:textFill>
        </w:rPr>
        <w:t xml:space="preserve">现场就货物的安装、启动、运营、维护</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、废弃处置等</w:t>
      </w:r>
      <w:r>
        <w:rPr>
          <w:rFonts w:hint="eastAsia" w:ascii="宋体" w:hAnsi="宋体" w:eastAsia="宋体" w:cs="宋体"/>
          <w:color w:val="000000" w:themeColor="text1"/>
          <w:szCs w:val="21"/>
          <w:highlight w:val="none"/>
          <w14:textFill>
            <w14:solidFill>
              <w14:schemeClr w14:val="tx1"/>
            </w14:solidFill>
          </w14:textFill>
        </w:rPr>
        <w:t xml:space="preserve">对甲方操作人员进行培训</w:t>
      </w:r>
      <w:r>
        <w:rPr>
          <w:rFonts w:hint="eastAsia" w:ascii="宋体" w:hAnsi="宋体" w:eastAsia="宋体" w:cs="宋体"/>
          <w:color w:val="000000" w:themeColor="text1"/>
          <w:szCs w:val="15"/>
          <w:lang w:eastAsia="zh-CN"/>
          <w14:textFill>
            <w14:solidFill>
              <w14:schemeClr w14:val="tx1"/>
            </w14:solidFill>
          </w14:textFill>
        </w:rPr>
        <w:t xml:space="preserve">；</w:t>
      </w:r>
      <w:r/>
    </w:p>
    <w:p>
      <w:pPr>
        <w:pStyle w:val="1256"/>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规定由乙方提供的其他服务。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乙方提供的</w:t>
      </w:r>
      <w:r>
        <w:rPr>
          <w:rFonts w:hint="eastAsia" w:ascii="宋体" w:hAnsi="宋体" w:eastAsia="宋体" w:cs="宋体"/>
          <w:color w:val="000000" w:themeColor="text1"/>
          <w:szCs w:val="21"/>
          <w:highlight w:val="none"/>
          <w:lang w:eastAsia="zh-CN"/>
          <w14:textFill>
            <w14:solidFill>
              <w14:schemeClr w14:val="tx1"/>
            </w14:solidFill>
          </w14:textFill>
        </w:rPr>
        <w:t xml:space="preserve">售后</w:t>
      </w:r>
      <w:r>
        <w:rPr>
          <w:rFonts w:hint="eastAsia" w:ascii="宋体" w:hAnsi="宋体" w:eastAsia="宋体" w:cs="宋体"/>
          <w:color w:val="000000" w:themeColor="text1"/>
          <w:szCs w:val="21"/>
          <w:highlight w:val="none"/>
          <w14:textFill>
            <w14:solidFill>
              <w14:schemeClr w14:val="tx1"/>
            </w14:solidFill>
          </w14:textFill>
        </w:rPr>
        <w:t xml:space="preserve">服务的费用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已</w:t>
      </w:r>
      <w:r>
        <w:rPr>
          <w:rFonts w:hint="eastAsia" w:ascii="宋体" w:hAnsi="宋体" w:eastAsia="宋体" w:cs="宋体"/>
          <w:color w:val="000000" w:themeColor="text1"/>
          <w:szCs w:val="21"/>
          <w:highlight w:val="none"/>
          <w14:textFill>
            <w14:solidFill>
              <w14:schemeClr w14:val="tx1"/>
            </w14:solidFill>
          </w14:textFill>
        </w:rPr>
        <w:t xml:space="preserve">包含在合同价款中，甲方不再另行支付。</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.1质量瑕疵的</w:t>
      </w:r>
      <w:r>
        <w:rPr>
          <w:rFonts w:hint="eastAsia" w:ascii="宋体" w:hAnsi="宋体" w:eastAsia="宋体" w:cs="宋体"/>
          <w:bCs/>
          <w:color w:val="000000" w:themeColor="text1"/>
          <w:szCs w:val="21"/>
          <w:highlight w:val="none"/>
          <w:lang w:eastAsia="zh-CN"/>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的产品不符合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合同约定的</w:t>
      </w:r>
      <w:r>
        <w:rPr>
          <w:rFonts w:hint="eastAsia" w:ascii="宋体" w:hAnsi="宋体" w:eastAsia="宋体" w:cs="宋体"/>
          <w:color w:val="000000" w:themeColor="text1"/>
          <w:szCs w:val="21"/>
          <w:highlight w:val="none"/>
          <w14:textFill>
            <w14:solidFill>
              <w14:schemeClr w14:val="tx1"/>
            </w14:solidFill>
          </w14:textFill>
        </w:rPr>
        <w:t xml:space="preserve">质量标准或存在产品质量缺陷，</w:t>
      </w:r>
      <w:r>
        <w:rPr>
          <w:rFonts w:hint="eastAsia" w:ascii="宋体" w:hAnsi="宋体" w:eastAsia="宋体" w:cs="宋体"/>
          <w:color w:val="000000" w:themeColor="text1"/>
          <w:szCs w:val="21"/>
          <w:highlight w:val="none"/>
          <w:lang w:eastAsia="zh-CN"/>
          <w14:textFill>
            <w14:solidFill>
              <w14:schemeClr w14:val="tx1"/>
            </w14:solidFill>
          </w14:textFill>
        </w:rPr>
        <w:t xml:space="preserve">甲方有权要求乙方根据</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要求</w:t>
      </w:r>
      <w:r>
        <w:rPr>
          <w:rFonts w:hint="eastAsia" w:ascii="宋体" w:hAnsi="宋体" w:eastAsia="宋体" w:cs="宋体"/>
          <w:color w:val="000000" w:themeColor="text1"/>
          <w:szCs w:val="21"/>
          <w:highlight w:val="none"/>
          <w:lang w:eastAsia="zh-CN"/>
          <w14:textFill>
            <w14:solidFill>
              <w14:schemeClr w14:val="tx1"/>
            </w14:solidFill>
          </w14:textFill>
        </w:rPr>
        <w:t xml:space="preserve">及时修理、重作、更换，并承担由此给甲</w:t>
      </w:r>
      <w:r>
        <w:rPr>
          <w:rFonts w:hint="eastAsia" w:ascii="宋体" w:hAnsi="宋体" w:eastAsia="宋体" w:cs="宋体"/>
          <w:color w:val="000000" w:themeColor="text1"/>
          <w:szCs w:val="21"/>
          <w:highlight w:val="none"/>
          <w14:textFill>
            <w14:solidFill>
              <w14:schemeClr w14:val="tx1"/>
            </w14:solidFill>
          </w14:textFill>
        </w:rPr>
        <w:t xml:space="preserve">方</w:t>
      </w:r>
      <w:r>
        <w:rPr>
          <w:rFonts w:hint="eastAsia" w:ascii="宋体" w:hAnsi="宋体" w:eastAsia="宋体" w:cs="宋体"/>
          <w:color w:val="000000" w:themeColor="text1"/>
          <w:szCs w:val="21"/>
          <w:highlight w:val="none"/>
          <w:lang w:eastAsia="zh-CN"/>
          <w14:textFill>
            <w14:solidFill>
              <w14:schemeClr w14:val="tx1"/>
            </w14:solidFill>
          </w14:textFill>
        </w:rPr>
        <w:t xml:space="preserve">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.2 迟延交货的违约责任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（1）乙方应按照本合同规定的时间、地点交货和提供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服务。在履行合同过程中，如果乙方遇到可能</w:t>
      </w:r>
      <w:r>
        <w:rPr>
          <w:rFonts w:hint="eastAsia" w:ascii="宋体" w:hAnsi="宋体" w:eastAsia="宋体" w:cs="宋体"/>
          <w:color w:val="000000" w:themeColor="text1"/>
          <w:szCs w:val="21"/>
          <w:highlight w:val="none"/>
          <w:lang w:eastAsia="zh-CN"/>
          <w14:textFill>
            <w14:solidFill>
              <w14:schemeClr w14:val="tx1"/>
            </w14:solidFill>
          </w14:textFill>
        </w:rPr>
        <w:t xml:space="preserve">影响</w:t>
      </w:r>
      <w:r>
        <w:rPr>
          <w:rFonts w:hint="eastAsia" w:ascii="宋体" w:hAnsi="宋体" w:eastAsia="宋体" w:cs="宋体"/>
          <w:color w:val="000000" w:themeColor="text1"/>
          <w:szCs w:val="21"/>
          <w:highlight w:val="none"/>
          <w14:textFill>
            <w14:solidFill>
              <w14:schemeClr w14:val="tx1"/>
            </w14:solidFill>
          </w14:textFill>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Cs w:val="21"/>
          <w:highlight w:val="none"/>
          <w14:textFill>
            <w14:solidFill>
              <w14:schemeClr w14:val="tx1"/>
            </w14:solidFill>
          </w14:textFill>
        </w:rPr>
        <w:t xml:space="preserve">交货时间或延期提供服务。</w:t>
      </w:r>
      <w:r/>
    </w:p>
    <w:p>
      <w:pPr>
        <w:ind w:firstLine="420"/>
        <w:jc w:val="left"/>
        <w:spacing w:before="0"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（2）如果乙方没有按照合同规定的时间交货和提供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服务，甲方有权从货款中扣除误期赔偿费而不影响合同项下的其他补救方法，赔偿费按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规定执行。如果涉及公共利益，且赔偿金额无法弥补公共利益损失，</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可要求继续履行或者</w:t>
      </w:r>
      <w:r>
        <w:rPr>
          <w:rFonts w:hint="eastAsia" w:ascii="宋体" w:hAnsi="宋体" w:eastAsia="宋体" w:cs="宋体"/>
          <w:color w:val="000000" w:themeColor="text1"/>
          <w:szCs w:val="21"/>
          <w:highlight w:val="none"/>
          <w:lang w:eastAsia="zh-CN"/>
          <w14:textFill>
            <w14:solidFill>
              <w14:schemeClr w14:val="tx1"/>
            </w14:solidFill>
          </w14:textFill>
        </w:rPr>
        <w:t xml:space="preserve">采取其他补救措施</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.4其他违约责任根据项目实际需要按</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pStyle w:val="1236"/>
        <w:ind w:lef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23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（1）需方内部工作安排、计划调整等自身原因；</w:t>
      </w:r>
      <w:r/>
    </w:p>
    <w:p>
      <w:pPr>
        <w:pStyle w:val="123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（2）中央、省、市、区级政策变动，以及规划、计划调整等外部原因；</w:t>
      </w:r>
      <w:r/>
    </w:p>
    <w:p>
      <w:pPr>
        <w:pStyle w:val="123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（3）其他需方原因。</w:t>
      </w:r>
      <w:r/>
    </w:p>
    <w:p>
      <w:pPr>
        <w:pStyle w:val="1236"/>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本合同对合同变更、中止或终止合同有其他特殊约定的，按该特殊约定执行。</w:t>
      </w:r>
      <w:r/>
    </w:p>
    <w:p>
      <w:pPr>
        <w:numPr>
          <w:ilvl w:val="0"/>
          <w:numId w:val="0"/>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2"/>
          <w:lang w:val="en-US" w:eastAsia="zh-CN" w:bidi="ar-SA"/>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合同变更</w:t>
      </w:r>
      <w:r>
        <w:rPr>
          <w:rFonts w:hint="eastAsia" w:ascii="宋体" w:hAnsi="宋体" w:eastAsia="宋体" w:cs="宋体"/>
          <w:b/>
          <w:color w:val="000000" w:themeColor="text1"/>
          <w:sz w:val="24"/>
          <w:highlight w:val="none"/>
          <w:lang w:eastAsia="zh-CN"/>
          <w14:textFill>
            <w14:solidFill>
              <w14:schemeClr w14:val="tx1"/>
            </w14:solidFill>
          </w14:textFill>
        </w:rPr>
        <w:t xml:space="preserve">、中止与终止</w:t>
      </w:r>
      <w:r/>
    </w:p>
    <w:p>
      <w:pPr>
        <w:ind w:firstLine="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变更</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政府采购合同履行中，</w:t>
      </w:r>
      <w:r>
        <w:rPr>
          <w:rFonts w:hint="eastAsia" w:ascii="宋体" w:hAnsi="宋体" w:eastAsia="宋体" w:cs="宋体"/>
          <w:color w:val="000000" w:themeColor="text1"/>
          <w:szCs w:val="21"/>
          <w:highlight w:val="none"/>
          <w14:textFill>
            <w14:solidFill>
              <w14:schemeClr w14:val="tx1"/>
            </w14:solidFill>
          </w14:textFill>
        </w:rPr>
        <w:t xml:space="preserve">在不改变合同其他条款的前提下，甲方可以在合同价款10%的范围内追加与合同标的相同的货物，并就此与乙方协商</w:t>
      </w:r>
      <w:r>
        <w:rPr>
          <w:rFonts w:hint="eastAsia" w:ascii="宋体" w:hAnsi="宋体" w:eastAsia="宋体" w:cs="宋体"/>
          <w:color w:val="000000" w:themeColor="text1"/>
          <w:szCs w:val="21"/>
          <w:highlight w:val="none"/>
          <w:lang w:eastAsia="zh-CN"/>
          <w14:textFill>
            <w14:solidFill>
              <w14:schemeClr w14:val="tx1"/>
            </w14:solidFill>
          </w14:textFill>
        </w:rPr>
        <w:t xml:space="preserve">一致后</w:t>
      </w:r>
      <w:r>
        <w:rPr>
          <w:rFonts w:hint="eastAsia" w:ascii="宋体" w:hAnsi="宋体" w:eastAsia="宋体" w:cs="宋体"/>
          <w:color w:val="000000" w:themeColor="text1"/>
          <w:szCs w:val="21"/>
          <w:highlight w:val="none"/>
          <w14:textFill>
            <w14:solidFill>
              <w14:schemeClr w14:val="tx1"/>
            </w14:solidFill>
          </w14:textFill>
        </w:rPr>
        <w:t xml:space="preserve">签订补充协议。</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w:t>
      </w:r>
      <w:r>
        <w:rPr>
          <w:rFonts w:hint="eastAsia" w:ascii="宋体" w:hAnsi="宋体" w:eastAsia="宋体" w:cs="宋体"/>
          <w:color w:val="000000" w:themeColor="text1"/>
          <w:szCs w:val="21"/>
          <w:highlight w:val="none"/>
          <w:lang w:eastAsia="zh-CN"/>
          <w14:textFill>
            <w14:solidFill>
              <w14:schemeClr w14:val="tx1"/>
            </w14:solidFill>
          </w14:textFill>
        </w:rPr>
        <w:t xml:space="preserve">可以</w:t>
      </w:r>
      <w:r>
        <w:rPr>
          <w:rFonts w:hint="eastAsia" w:ascii="宋体" w:hAnsi="宋体" w:eastAsia="宋体" w:cs="宋体"/>
          <w:color w:val="000000" w:themeColor="text1"/>
          <w:szCs w:val="21"/>
          <w:highlight w:val="none"/>
          <w14:textFill>
            <w14:solidFill>
              <w14:schemeClr w14:val="tx1"/>
            </w14:solidFill>
          </w14:textFill>
        </w:rPr>
        <w:t xml:space="preserve">中止合同的履行。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合同履行过程中，</w:t>
      </w:r>
      <w:r>
        <w:rPr>
          <w:rFonts w:hint="eastAsia" w:ascii="宋体" w:hAnsi="宋体" w:eastAsia="宋体" w:cs="宋体"/>
          <w:color w:val="000000" w:themeColor="text1"/>
          <w:szCs w:val="21"/>
          <w:highlight w:val="none"/>
          <w14:textFill>
            <w14:solidFill>
              <w14:schemeClr w14:val="tx1"/>
            </w14:solidFill>
          </w14:textFill>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Cs w:val="21"/>
          <w:highlight w:val="none"/>
          <w:lang w:eastAsia="zh-CN"/>
          <w14:textFill>
            <w14:solidFill>
              <w14:schemeClr w14:val="tx1"/>
            </w14:solidFill>
          </w14:textFill>
        </w:rPr>
        <w:t xml:space="preserve">，乙方有义务及时告知甲方</w:t>
      </w:r>
      <w:r>
        <w:rPr>
          <w:rFonts w:hint="eastAsia" w:ascii="宋体" w:hAnsi="宋体" w:eastAsia="宋体" w:cs="宋体"/>
          <w:color w:val="000000" w:themeColor="text1"/>
          <w:szCs w:val="21"/>
          <w:highlight w:val="none"/>
          <w14:textFill>
            <w14:solidFill>
              <w14:schemeClr w14:val="tx1"/>
            </w14:solidFill>
          </w14:textFill>
        </w:rPr>
        <w:t xml:space="preserve">。甲方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以书面形式通知乙方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终</w:t>
      </w:r>
      <w:r>
        <w:rPr>
          <w:rFonts w:hint="eastAsia" w:ascii="宋体" w:hAnsi="宋体" w:eastAsia="宋体" w:cs="宋体"/>
          <w:color w:val="000000" w:themeColor="text1"/>
          <w:szCs w:val="21"/>
          <w:highlight w:val="none"/>
          <w14:textFill>
            <w14:solidFill>
              <w14:schemeClr w14:val="tx1"/>
            </w14:solidFill>
          </w14:textFill>
        </w:rPr>
        <w:t xml:space="preserve">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并要求乙方在合理期限内消除相关情形或者提供适当担保。</w:t>
      </w:r>
      <w:r>
        <w:rPr>
          <w:rFonts w:hint="eastAsia" w:ascii="宋体" w:hAnsi="宋体" w:eastAsia="宋体" w:cs="宋体"/>
          <w:color w:val="000000" w:themeColor="text1"/>
          <w:szCs w:val="21"/>
          <w:highlight w:val="none"/>
          <w14:textFill>
            <w14:solidFill>
              <w14:schemeClr w14:val="tx1"/>
            </w14:solidFill>
          </w14:textFill>
        </w:rPr>
        <w:t xml:space="preserve">乙方提供适当担保的，</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合同继续</w:t>
      </w:r>
      <w:r>
        <w:rPr>
          <w:rFonts w:hint="eastAsia" w:ascii="宋体" w:hAnsi="宋体" w:eastAsia="宋体" w:cs="宋体"/>
          <w:color w:val="000000" w:themeColor="text1"/>
          <w:szCs w:val="21"/>
          <w:highlight w:val="none"/>
          <w14:textFill>
            <w14:solidFill>
              <w14:schemeClr w14:val="tx1"/>
            </w14:solidFill>
          </w14:textFill>
        </w:rPr>
        <w:t xml:space="preserve">履行</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方在合理期限内未恢复履约能力且未提供适当担保的，视为拒绝</w:t>
      </w:r>
      <w:r>
        <w:rPr>
          <w:rFonts w:hint="eastAsia" w:ascii="宋体" w:hAnsi="宋体" w:eastAsia="宋体" w:cs="宋体"/>
          <w:color w:val="000000" w:themeColor="text1"/>
          <w:szCs w:val="21"/>
          <w:highlight w:val="none"/>
          <w:lang w:eastAsia="zh-CN"/>
          <w14:textFill>
            <w14:solidFill>
              <w14:schemeClr w14:val="tx1"/>
            </w14:solidFill>
          </w14:textFill>
        </w:rPr>
        <w:t xml:space="preserve">继续</w:t>
      </w:r>
      <w:r>
        <w:rPr>
          <w:rFonts w:hint="eastAsia" w:ascii="宋体" w:hAnsi="宋体" w:eastAsia="宋体" w:cs="宋体"/>
          <w:color w:val="000000" w:themeColor="text1"/>
          <w:szCs w:val="21"/>
          <w:highlight w:val="none"/>
          <w14:textFill>
            <w14:solidFill>
              <w14:schemeClr w14:val="tx1"/>
            </w14:solidFill>
          </w14:textFill>
        </w:rPr>
        <w:t xml:space="preserve">履约，甲方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解除合同并要求乙方承担</w:t>
      </w:r>
      <w:r>
        <w:rPr>
          <w:rFonts w:hint="eastAsia" w:ascii="宋体" w:hAnsi="宋体" w:eastAsia="宋体" w:cs="宋体"/>
          <w:color w:val="000000" w:themeColor="text1"/>
          <w:szCs w:val="21"/>
          <w:highlight w:val="none"/>
          <w:lang w:eastAsia="zh-CN"/>
          <w14:textFill>
            <w14:solidFill>
              <w14:schemeClr w14:val="tx1"/>
            </w14:solidFill>
          </w14:textFill>
        </w:rPr>
        <w:t xml:space="preserve">由此给甲方造成的损失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w:t>
      </w:r>
      <w:r>
        <w:rPr>
          <w:rFonts w:hint="eastAsia" w:ascii="宋体" w:hAnsi="宋体" w:eastAsia="宋体" w:cs="宋体"/>
          <w:color w:val="000000" w:themeColor="text1"/>
          <w:sz w:val="21"/>
          <w:lang w:eastAsia="zh-CN"/>
          <w14:textFill>
            <w14:solidFill>
              <w14:schemeClr w14:val="tx1"/>
            </w14:solidFill>
          </w14:textFill>
        </w:rPr>
        <w:t xml:space="preserve">及时告知</w:t>
      </w:r>
      <w:r>
        <w:rPr>
          <w:rFonts w:hint="eastAsia" w:ascii="宋体" w:hAnsi="宋体" w:eastAsia="宋体" w:cs="宋体"/>
          <w:color w:val="000000" w:themeColor="text1"/>
          <w:sz w:val="21"/>
          <w14:textFill>
            <w14:solidFill>
              <w14:schemeClr w14:val="tx1"/>
            </w14:solidFill>
          </w14:textFill>
        </w:rPr>
        <w:t xml:space="preserve">甲方，致使</w:t>
      </w:r>
      <w:r>
        <w:rPr>
          <w:rFonts w:hint="eastAsia" w:ascii="宋体" w:hAnsi="宋体" w:eastAsia="宋体" w:cs="宋体"/>
          <w:color w:val="000000" w:themeColor="text1"/>
          <w:sz w:val="21"/>
          <w:lang w:eastAsia="zh-CN"/>
          <w14:textFill>
            <w14:solidFill>
              <w14:schemeClr w14:val="tx1"/>
            </w14:solidFill>
          </w14:textFill>
        </w:rPr>
        <w:t xml:space="preserve">合同</w:t>
      </w:r>
      <w:r>
        <w:rPr>
          <w:rFonts w:hint="eastAsia" w:ascii="宋体" w:hAnsi="宋体" w:eastAsia="宋体" w:cs="宋体"/>
          <w:color w:val="000000" w:themeColor="text1"/>
          <w:sz w:val="21"/>
          <w14:textFill>
            <w14:solidFill>
              <w14:schemeClr w14:val="tx1"/>
            </w14:solidFill>
          </w14:textFill>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）甲方不得以行政区划调整、政府换届、机构或者职能调整以及相关责任人更替为由</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rPr>
          <w:rFonts w:hint="eastAsia" w:ascii="宋体" w:hAnsi="宋体" w:eastAsia="宋体" w:cs="宋体"/>
          <w:color w:val="000000" w:themeColor="text1"/>
          <w:szCs w:val="21"/>
          <w:highlight w:val="none"/>
          <w14:textFill>
            <w14:solidFill>
              <w14:schemeClr w14:val="tx1"/>
            </w14:solidFill>
          </w14:textFill>
        </w:rPr>
        <w:t xml:space="preserve">合同。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（2）乙方未</w:t>
      </w:r>
      <w:r>
        <w:rPr>
          <w:rFonts w:hint="eastAsia" w:ascii="宋体" w:hAnsi="宋体" w:eastAsia="宋体" w:cs="宋体"/>
          <w:color w:val="000000" w:themeColor="text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Cs w:val="21"/>
          <w:highlight w:val="none"/>
          <w14:textFill>
            <w14:solidFill>
              <w14:schemeClr w14:val="tx1"/>
            </w14:solidFill>
          </w14:textFill>
        </w:rPr>
        <w:t xml:space="preserve">合同约定履行，构成根本性违约的，甲方有权终止合同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并追究乙方的违约责</w:t>
      </w:r>
      <w:r>
        <w:rPr>
          <w:rFonts w:hint="eastAsia" w:ascii="宋体" w:hAnsi="宋体" w:eastAsia="宋体" w:cs="宋体"/>
          <w:color w:val="000000" w:themeColor="text1"/>
          <w:szCs w:val="21"/>
          <w:lang w:val="en-US" w:eastAsia="zh-CN"/>
          <w14:textFill>
            <w14:solidFill>
              <w14:schemeClr w14:val="tx1"/>
            </w14:solidFill>
          </w14:textFill>
        </w:rPr>
        <w:t xml:space="preserve">任</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256"/>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16.4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涉及国家利益、社会公共利益的情形</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应当变更、</w:t>
      </w:r>
      <w:r>
        <w:rPr>
          <w:rFonts w:hint="eastAsia" w:ascii="宋体" w:hAnsi="宋体" w:eastAsia="宋体" w:cs="宋体"/>
          <w:color w:val="000000" w:themeColor="text1"/>
          <w:sz w:val="21"/>
          <w14:textFill>
            <w14:solidFill>
              <w14:schemeClr w14:val="tx1"/>
            </w14:solidFill>
          </w14:textFill>
        </w:rPr>
        <w:t xml:space="preserve">中止</w:t>
      </w:r>
      <w:r>
        <w:rPr>
          <w:rFonts w:hint="eastAsia" w:ascii="宋体" w:hAnsi="宋体" w:eastAsia="宋体" w:cs="宋体"/>
          <w:color w:val="000000" w:themeColor="text1"/>
          <w:sz w:val="21"/>
          <w:lang w:eastAsia="zh-CN"/>
          <w14:textFill>
            <w14:solidFill>
              <w14:schemeClr w14:val="tx1"/>
            </w14:solidFill>
          </w14:textFill>
        </w:rPr>
        <w:t xml:space="preserve">或者终止</w:t>
      </w:r>
      <w:r>
        <w:rPr>
          <w:rFonts w:hint="eastAsia" w:ascii="宋体" w:hAnsi="宋体" w:eastAsia="宋体" w:cs="宋体"/>
          <w:color w:val="000000" w:themeColor="text1"/>
          <w:sz w:val="21"/>
          <w14:textFill>
            <w14:solidFill>
              <w14:schemeClr w14:val="tx1"/>
            </w14:solidFill>
          </w14:textFill>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乙方不得</w:t>
      </w:r>
      <w:r>
        <w:rPr>
          <w:rFonts w:hint="eastAsia" w:ascii="宋体" w:hAnsi="宋体" w:eastAsia="宋体" w:cs="宋体"/>
          <w:color w:val="000000" w:themeColor="text1"/>
          <w:szCs w:val="21"/>
          <w:highlight w:val="none"/>
          <w:lang w:eastAsia="zh-CN"/>
          <w14:textFill>
            <w14:solidFill>
              <w14:schemeClr w14:val="tx1"/>
            </w14:solidFill>
          </w14:textFill>
        </w:rPr>
        <w:t xml:space="preserve">将合同转包给其他供应商。涉及合同分包的，乙方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应</w:t>
      </w:r>
      <w:r>
        <w:rPr>
          <w:rFonts w:hint="eastAsia" w:ascii="宋体" w:hAnsi="宋体" w:eastAsia="宋体" w:cs="宋体"/>
          <w:color w:val="000000" w:themeColor="text1"/>
          <w:szCs w:val="21"/>
          <w:highlight w:val="none"/>
          <w:lang w:eastAsia="zh-CN"/>
          <w14:textFill>
            <w14:solidFill>
              <w14:schemeClr w14:val="tx1"/>
            </w14:solidFill>
          </w14:textFill>
        </w:rPr>
        <w:t xml:space="preserve">根据采购文件和投标（响应）文件规定进行</w:t>
      </w:r>
      <w:r>
        <w:rPr>
          <w:rFonts w:hint="eastAsia" w:ascii="宋体" w:hAnsi="宋体" w:eastAsia="宋体" w:cs="宋体"/>
          <w:color w:val="000000" w:themeColor="text1"/>
          <w:szCs w:val="21"/>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乙方执行政府采购政策向中小企业依法分包的</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乙方应当按采购文件</w:t>
      </w:r>
      <w:r>
        <w:rPr>
          <w:rFonts w:hint="eastAsia" w:ascii="宋体" w:hAnsi="宋体" w:eastAsia="宋体" w:cs="宋体"/>
          <w:color w:val="000000" w:themeColor="text1"/>
          <w:szCs w:val="21"/>
          <w:highlight w:val="none"/>
          <w:lang w:eastAsia="zh-CN"/>
          <w14:textFill>
            <w14:solidFill>
              <w14:schemeClr w14:val="tx1"/>
            </w14:solidFill>
          </w14:textFill>
        </w:rPr>
        <w:t xml:space="preserve">和</w:t>
      </w:r>
      <w:r>
        <w:rPr>
          <w:rFonts w:hint="eastAsia" w:ascii="宋体" w:hAnsi="宋体" w:eastAsia="宋体" w:cs="宋体"/>
          <w:color w:val="000000" w:themeColor="text1"/>
          <w:szCs w:val="21"/>
          <w:highlight w:val="none"/>
          <w14:textFill>
            <w14:solidFill>
              <w14:schemeClr w14:val="tx1"/>
            </w14:solidFill>
          </w14:textFill>
        </w:rPr>
        <w:t xml:space="preserve">投标（响应）文件签订分包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协议属于本合同组成部分。</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不可抗力</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.3 遇有不可抗力的一方，应及时将事件情况以书面形式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告</w:t>
      </w:r>
      <w:r>
        <w:rPr>
          <w:rFonts w:hint="eastAsia" w:ascii="宋体" w:hAnsi="宋体" w:eastAsia="宋体" w:cs="宋体"/>
          <w:color w:val="000000" w:themeColor="text1"/>
          <w:szCs w:val="21"/>
          <w:highlight w:val="none"/>
          <w14:textFill>
            <w14:solidFill>
              <w14:schemeClr w14:val="tx1"/>
            </w14:solidFill>
          </w14:textFill>
        </w:rPr>
        <w:t xml:space="preserve">知另一方，并在事件发生后及时向另一方提交合同不能履行或部分不能履行或需要延期履行</w:t>
      </w:r>
      <w:r>
        <w:rPr>
          <w:rFonts w:hint="eastAsia" w:ascii="宋体" w:hAnsi="宋体" w:eastAsia="宋体" w:cs="宋体"/>
          <w:color w:val="000000" w:themeColor="text1"/>
          <w:szCs w:val="21"/>
          <w:highlight w:val="none"/>
          <w:lang w:eastAsia="zh-CN"/>
          <w14:textFill>
            <w14:solidFill>
              <w14:schemeClr w14:val="tx1"/>
            </w14:solidFill>
          </w14:textFill>
        </w:rPr>
        <w:t xml:space="preserve">的详细</w:t>
      </w:r>
      <w:r>
        <w:rPr>
          <w:rFonts w:hint="eastAsia" w:ascii="宋体" w:hAnsi="宋体" w:eastAsia="宋体" w:cs="宋体"/>
          <w:color w:val="000000" w:themeColor="text1"/>
          <w:szCs w:val="21"/>
          <w:highlight w:val="none"/>
          <w14:textFill>
            <w14:solidFill>
              <w14:schemeClr w14:val="tx1"/>
            </w14:solidFill>
          </w14:textFill>
        </w:rPr>
        <w:t xml:space="preserve">报告</w:t>
      </w:r>
      <w:r>
        <w:rPr>
          <w:rFonts w:hint="eastAsia" w:ascii="宋体" w:hAnsi="宋体" w:eastAsia="宋体" w:cs="宋体"/>
          <w:color w:val="000000" w:themeColor="text1"/>
          <w:szCs w:val="21"/>
          <w:highlight w:val="none"/>
          <w:lang w:eastAsia="zh-CN"/>
          <w14:textFill>
            <w14:solidFill>
              <w14:schemeClr w14:val="tx1"/>
            </w14:solidFill>
          </w14:textFill>
        </w:rPr>
        <w:t xml:space="preserve">，以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及证明不可抗力发生及其持续时间的证据</w:t>
      </w:r>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解决争议的方法</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.1 因本合同及合同有关事项发生的争议，由</w:t>
      </w:r>
      <w:r>
        <w:rPr>
          <w:rFonts w:hint="eastAsia" w:ascii="宋体" w:hAnsi="宋体" w:eastAsia="宋体" w:cs="宋体"/>
          <w:color w:val="000000" w:themeColor="text1"/>
          <w:sz w:val="21"/>
          <w:lang w:eastAsia="zh-CN"/>
          <w14:textFill>
            <w14:solidFill>
              <w14:schemeClr w14:val="tx1"/>
            </w14:solidFill>
          </w14:textFill>
        </w:rPr>
        <w:t xml:space="preserve">甲乙双</w:t>
      </w:r>
      <w:r>
        <w:rPr>
          <w:rFonts w:hint="eastAsia" w:ascii="宋体" w:hAnsi="宋体" w:eastAsia="宋体" w:cs="宋体"/>
          <w:color w:val="000000" w:themeColor="text1"/>
          <w:sz w:val="21"/>
          <w14:textFill>
            <w14:solidFill>
              <w14:schemeClr w14:val="tx1"/>
            </w14:solidFill>
          </w14:textFill>
        </w:rPr>
        <w:t xml:space="preserve">方友好协商解决。协商不成时，可以</w:t>
      </w:r>
      <w:r>
        <w:rPr>
          <w:rFonts w:hint="eastAsia" w:ascii="宋体" w:hAnsi="宋体" w:eastAsia="宋体" w:cs="宋体"/>
          <w:color w:val="000000" w:themeColor="text1"/>
          <w:sz w:val="21"/>
          <w:lang w:eastAsia="zh-CN"/>
          <w14:textFill>
            <w14:solidFill>
              <w14:schemeClr w14:val="tx1"/>
            </w14:solidFill>
          </w14:textFill>
        </w:rPr>
        <w:t xml:space="preserve">向有关组织申请</w:t>
      </w:r>
      <w:r>
        <w:rPr>
          <w:rFonts w:hint="eastAsia" w:ascii="宋体" w:hAnsi="宋体" w:eastAsia="宋体" w:cs="宋体"/>
          <w:color w:val="000000" w:themeColor="text1"/>
          <w:sz w:val="21"/>
          <w14:textFill>
            <w14:solidFill>
              <w14:schemeClr w14:val="tx1"/>
            </w14:solidFill>
          </w14:textFill>
        </w:rPr>
        <w:t xml:space="preserve">调解。合同一方或</w:t>
      </w:r>
      <w:r>
        <w:rPr>
          <w:rFonts w:hint="eastAsia" w:ascii="宋体" w:hAnsi="宋体" w:eastAsia="宋体" w:cs="宋体"/>
          <w:color w:val="000000" w:themeColor="text1"/>
          <w:sz w:val="21"/>
          <w:lang w:eastAsia="zh-CN"/>
          <w14:textFill>
            <w14:solidFill>
              <w14:schemeClr w14:val="tx1"/>
            </w14:solidFill>
          </w14:textFill>
        </w:rPr>
        <w:t xml:space="preserve">双</w:t>
      </w:r>
      <w:r>
        <w:rPr>
          <w:rFonts w:hint="eastAsia" w:ascii="宋体" w:hAnsi="宋体" w:eastAsia="宋体" w:cs="宋体"/>
          <w:color w:val="000000" w:themeColor="text1"/>
          <w:sz w:val="21"/>
          <w14:textFill>
            <w14:solidFill>
              <w14:schemeClr w14:val="tx1"/>
            </w14:solidFill>
          </w14:textFill>
        </w:rPr>
        <w:t xml:space="preserve">方不愿调解或调解不成的，可以通过仲裁或诉讼的方式解决争议。</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.2 选择仲裁的，应在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.3 如</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sz w:val="21"/>
          <w14:textFill>
            <w14:solidFill>
              <w14:schemeClr w14:val="tx1"/>
            </w14:solidFill>
          </w14:textFill>
        </w:rPr>
        <w:t xml:space="preserve">有争议的事项不影响合同其他部分的履行，在争议解决期间，合同其他部分应</w:t>
      </w:r>
      <w:r>
        <w:rPr>
          <w:rFonts w:hint="eastAsia" w:ascii="宋体" w:hAnsi="宋体" w:eastAsia="宋体" w:cs="宋体"/>
          <w:color w:val="000000" w:themeColor="text1"/>
          <w:sz w:val="21"/>
          <w:lang w:eastAsia="zh-CN"/>
          <w14:textFill>
            <w14:solidFill>
              <w14:schemeClr w14:val="tx1"/>
            </w14:solidFill>
          </w14:textFill>
        </w:rPr>
        <w:t xml:space="preserve">当</w:t>
      </w:r>
      <w:r>
        <w:rPr>
          <w:rFonts w:hint="eastAsia" w:ascii="宋体" w:hAnsi="宋体" w:eastAsia="宋体" w:cs="宋体"/>
          <w:color w:val="000000" w:themeColor="text1"/>
          <w:sz w:val="21"/>
          <w14:textFill>
            <w14:solidFill>
              <w14:schemeClr w14:val="tx1"/>
            </w14:solidFill>
          </w14:textFill>
        </w:rPr>
        <w:t xml:space="preserve">继续履行。</w:t>
      </w:r>
      <w:r/>
    </w:p>
    <w:p>
      <w:pPr>
        <w:jc w:val="left"/>
        <w:spacing w:before="0"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政府采购政策</w:t>
      </w:r>
      <w:r/>
    </w:p>
    <w:p>
      <w:pPr>
        <w:ind w:firstLine="420"/>
        <w:jc w:val="left"/>
        <w:spacing w:before="0"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1231"/>
        <w:ind w:firstLine="420"/>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法律适用</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.1 本合同的订立、生效、解释、履行及与本合同有关的争议解决，均适用法律、行政法规。</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highlight w:val="none"/>
          <w14:textFill>
            <w14:solidFill>
              <w14:schemeClr w14:val="tx1"/>
            </w14:solidFill>
          </w14:textFill>
        </w:rPr>
        <w:t xml:space="preserve">通知</w:t>
      </w:r>
      <w:r/>
    </w:p>
    <w:p>
      <w:pPr>
        <w:pStyle w:val="1256"/>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.1</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本合同任何一方向对方发出的通知、信件、数据电文等，应当发送至本合同第一部分《政府采购合同协议书》所约定的通讯地址、联系人、联系电话或电子邮箱。</w:t>
      </w:r>
      <w:r/>
    </w:p>
    <w:p>
      <w:pPr>
        <w:pStyle w:val="1256"/>
        <w:ind w:firstLine="0"/>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一方当事人变更名称、</w:t>
      </w:r>
      <w:r>
        <w:rPr>
          <w:rFonts w:hint="eastAsia" w:ascii="宋体" w:hAnsi="宋体" w:eastAsia="宋体" w:cs="宋体"/>
          <w:color w:val="000000" w:themeColor="text1"/>
          <w:sz w:val="21"/>
          <w:lang w:eastAsia="zh-CN"/>
          <w14:textFill>
            <w14:solidFill>
              <w14:schemeClr w14:val="tx1"/>
            </w14:solidFill>
          </w14:textFill>
        </w:rPr>
        <w:t xml:space="preserve">住所</w:t>
      </w:r>
      <w:r>
        <w:rPr>
          <w:rFonts w:hint="eastAsia" w:ascii="宋体" w:hAnsi="宋体" w:eastAsia="宋体" w:cs="宋体"/>
          <w:color w:val="000000" w:themeColor="text1"/>
          <w:sz w:val="21"/>
          <w14:textFill>
            <w14:solidFill>
              <w14:schemeClr w14:val="tx1"/>
            </w14:solidFill>
          </w14:textFill>
        </w:rPr>
        <w:t xml:space="preserve">、联系人、联系电话或电子邮箱</w:t>
      </w:r>
      <w:r>
        <w:rPr>
          <w:rFonts w:hint="eastAsia" w:ascii="宋体" w:hAnsi="宋体" w:eastAsia="宋体" w:cs="宋体"/>
          <w:color w:val="000000" w:themeColor="text1"/>
          <w:sz w:val="21"/>
          <w:lang w:eastAsia="zh-CN"/>
          <w14:textFill>
            <w14:solidFill>
              <w14:schemeClr w14:val="tx1"/>
            </w14:solidFill>
          </w14:textFill>
        </w:rPr>
        <w:t xml:space="preserve">等信息</w:t>
      </w:r>
      <w:r>
        <w:rPr>
          <w:rFonts w:hint="eastAsia" w:ascii="宋体" w:hAnsi="宋体" w:eastAsia="宋体" w:cs="宋体"/>
          <w:color w:val="000000" w:themeColor="text1"/>
          <w:sz w:val="21"/>
          <w14:textFill>
            <w14:solidFill>
              <w14:schemeClr w14:val="tx1"/>
            </w14:solidFill>
          </w14:textFill>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通知以送达之日或通知书中规定的生效之日起生效，两者中以较迟之日为准。</w:t>
      </w:r>
      <w:r/>
    </w:p>
    <w:p>
      <w:pPr>
        <w:numPr>
          <w:ilvl w:val="0"/>
          <w:numId w:val="23"/>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合同未尽事项</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.1合同未尽事项见</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0"/>
        <w:jc w:val="left"/>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23.2 合同附件与合同正文具有同等的法律效力。</w:t>
      </w:r>
      <w:r/>
    </w:p>
    <w:p>
      <w:pPr>
        <w:jc w:val="center"/>
        <w:rPr>
          <w:rFonts w:hint="eastAsia" w:ascii="等线" w:hAnsi="等线" w:eastAsia="等线" w:cs="等线"/>
          <w:b w:val="0"/>
          <w:bCs w:val="0"/>
          <w:color w:val="000000" w:themeColor="text1"/>
          <w:sz w:val="28"/>
          <w:szCs w:val="28"/>
          <w14:textFill>
            <w14:solidFill>
              <w14:schemeClr w14:val="tx1"/>
            </w14:solidFill>
          </w14:textFill>
        </w:rPr>
      </w:pPr>
      <w:r>
        <w:rPr>
          <w:rFonts w:hint="eastAsia" w:ascii="等线" w:hAnsi="等线" w:eastAsia="等线" w:cs="等线"/>
          <w:b w:val="0"/>
          <w:bCs w:val="0"/>
          <w:color w:val="000000" w:themeColor="text1"/>
          <w:sz w:val="28"/>
          <w:szCs w:val="28"/>
          <w14:textFill>
            <w14:solidFill>
              <w14:schemeClr w14:val="tx1"/>
            </w14:solidFill>
          </w14:textFill>
        </w:rPr>
        <w:br w:type="page" w:clear="all"/>
      </w:r>
      <w:bookmarkEnd w:id="26"/>
      <w:r/>
      <w:r/>
    </w:p>
    <w:p>
      <w:pPr>
        <w:pStyle w:val="1226"/>
        <w:jc w:val="center"/>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t xml:space="preserve">第三节 政府采购合同专用条款</w:t>
      </w:r>
      <w:r/>
    </w:p>
    <w:tbl>
      <w:tblPr>
        <w:tblStyle w:val="1228"/>
        <w:tblW w:w="889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78"/>
        <w:gridCol w:w="1819"/>
        <w:gridCol w:w="5401"/>
      </w:tblGrid>
      <w:tr>
        <w:trPr>
          <w:trHeight w:val="754"/>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联合体具体要求</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25"/>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87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4.4款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履约验收中甲方提出异议或作出说明的期限</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4.6款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约定甲方承担的其他义务和责任</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default"/>
                <w:color w:val="000000" w:themeColor="text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5.4款</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约定乙方承担的其他义务和责任</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6.1款</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履行合同义务的顺序</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689"/>
        </w:trPr>
        <w:tc>
          <w:tcPr>
            <w:tcW w:w="1678"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w:t>
            </w:r>
            <w:r>
              <w:rPr>
                <w:rFonts w:hint="eastAsia" w:ascii="宋体" w:hAnsi="宋体"/>
                <w:color w:val="000000" w:themeColor="text1"/>
                <w:szCs w:val="21"/>
                <w:lang w:eastAsia="zh-CN"/>
                <w14:textFill>
                  <w14:solidFill>
                    <w14:schemeClr w14:val="tx1"/>
                  </w14:solidFill>
                </w14:textFill>
              </w:rPr>
              <w:t xml:space="preserve">特殊要求</w:t>
            </w:r>
            <w:r/>
          </w:p>
        </w:tc>
        <w:tc>
          <w:tcPr>
            <w:tcW w:w="5401"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89"/>
        </w:trPr>
        <w:tc>
          <w:tcPr>
            <w:tcW w:w="1678" w:type="dxa"/>
            <w:vAlign w:val="center"/>
            <w:vMerge w:val="continue"/>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指定现场</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95"/>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运输特殊要求</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68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保险要求</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.2（1）项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401" w:type="dxa"/>
            <w:vAlign w:val="center"/>
            <w:textDirection w:val="lrTb"/>
            <w:noWrap w:val="false"/>
          </w:tcPr>
          <w:p>
            <w:pPr>
              <w:jc w:val="left"/>
              <w:rPr>
                <w:rFonts w:hint="default"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5年，</w:t>
            </w:r>
            <w:r>
              <w:rPr>
                <w:rFonts w:hint="eastAsia"/>
                <w:color w:val="auto"/>
                <w:spacing w:val="0"/>
                <w:highlight w:val="none"/>
              </w:rPr>
              <w:t xml:space="preserve">自交付使用之日起计算</w:t>
            </w:r>
            <w:r>
              <w:rPr>
                <w:rFonts w:hint="eastAsia"/>
                <w:color w:val="auto"/>
                <w:spacing w:val="0"/>
                <w:highlight w:val="none"/>
                <w:lang w:eastAsia="zh-CN"/>
              </w:rPr>
              <w:t xml:space="preserve">。</w:t>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.2（3）项</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第二节</w:t>
            </w:r>
            <w:r/>
          </w:p>
          <w:p>
            <w:pPr>
              <w:pStyle w:val="1256"/>
              <w:ind w:firstLine="0"/>
              <w:jc w:val="center"/>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第11.1款</w:t>
            </w:r>
            <w:r/>
          </w:p>
        </w:tc>
        <w:tc>
          <w:tcPr>
            <w:tcW w:w="1819"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其他应当保密的信息</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1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.2款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w:t>
            </w:r>
            <w:r>
              <w:rPr>
                <w:rFonts w:hint="eastAsia" w:ascii="宋体" w:hAnsi="宋体"/>
                <w:color w:val="000000" w:themeColor="text1"/>
                <w:szCs w:val="21"/>
                <w:lang w:eastAsia="zh-CN"/>
                <w14:textFill>
                  <w14:solidFill>
                    <w14:schemeClr w14:val="tx1"/>
                  </w14:solidFill>
                </w14:textFill>
              </w:rPr>
              <w:t xml:space="preserve">时间</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19"/>
        </w:trPr>
        <w:tc>
          <w:tcPr>
            <w:tcW w:w="167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13.2</w:t>
            </w:r>
            <w:r>
              <w:rPr>
                <w:rFonts w:hint="eastAsia" w:ascii="宋体" w:hAnsi="宋体"/>
                <w:color w:val="000000" w:themeColor="text1"/>
                <w:szCs w:val="21"/>
                <w14:textFill>
                  <w14:solidFill>
                    <w14:schemeClr w14:val="tx1"/>
                  </w14:solidFill>
                </w14:textFill>
              </w:rPr>
              <w:t xml:space="preserve">款</w:t>
            </w:r>
            <w:r/>
          </w:p>
        </w:tc>
        <w:tc>
          <w:tcPr>
            <w:tcW w:w="1819"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履约保证金不予退还的情形</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77"/>
        </w:trPr>
        <w:tc>
          <w:tcPr>
            <w:tcW w:w="167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13.3</w:t>
            </w:r>
            <w:r>
              <w:rPr>
                <w:rFonts w:hint="eastAsia" w:ascii="宋体" w:hAnsi="宋体"/>
                <w:color w:val="000000" w:themeColor="text1"/>
                <w:szCs w:val="21"/>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w:t>
            </w:r>
            <w:r>
              <w:rPr>
                <w:rFonts w:hint="eastAsia" w:ascii="宋体" w:hAnsi="宋体"/>
                <w:color w:val="000000" w:themeColor="text1"/>
                <w:szCs w:val="21"/>
                <w:lang w:eastAsia="zh-CN"/>
                <w14:textFill>
                  <w14:solidFill>
                    <w14:schemeClr w14:val="tx1"/>
                  </w14:solidFill>
                </w14:textFill>
              </w:rPr>
              <w:t xml:space="preserve">逾期退还的</w:t>
            </w:r>
            <w:r>
              <w:rPr>
                <w:rFonts w:hint="eastAsia" w:ascii="宋体" w:hAnsi="宋体"/>
                <w:color w:val="000000" w:themeColor="text1"/>
                <w:szCs w:val="21"/>
                <w14:textFill>
                  <w14:solidFill>
                    <w14:schemeClr w14:val="tx1"/>
                  </w14:solidFill>
                </w14:textFill>
              </w:rPr>
              <w:t xml:space="preserve">违约金</w:t>
            </w:r>
            <w:r/>
          </w:p>
        </w:tc>
        <w:tc>
          <w:tcPr>
            <w:tcW w:w="5401" w:type="dxa"/>
            <w:vAlign w:val="center"/>
            <w:textDirection w:val="lrTb"/>
            <w:noWrap w:val="false"/>
          </w:tcPr>
          <w:p>
            <w:pPr>
              <w:jc w:val="both"/>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0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运行监督、维修期限</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0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货物回收的约定</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1款</w:t>
            </w:r>
            <w:r/>
          </w:p>
        </w:tc>
        <w:tc>
          <w:tcPr>
            <w:tcW w:w="1819"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修理、重做、更换相关具体规定</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.2（2）项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401"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3款</w:t>
            </w:r>
            <w:r/>
          </w:p>
        </w:tc>
        <w:tc>
          <w:tcPr>
            <w:tcW w:w="1819"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401"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0"/>
        </w:trPr>
        <w:tc>
          <w:tcPr>
            <w:tcBorders>
              <w:bottom w:val="single" w:color="auto" w:sz="2" w:space="0"/>
              <w:right w:val="single" w:color="auto" w:sz="2" w:space="0"/>
            </w:tcBorders>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en-US" w:eastAsia="zh-CN"/>
                <w14:textFill>
                  <w14:solidFill>
                    <w14:schemeClr w14:val="tx1"/>
                  </w14:solidFill>
                </w14:textFill>
              </w:rPr>
              <w:t xml:space="preserve">款</w:t>
            </w:r>
            <w:r/>
          </w:p>
        </w:tc>
        <w:tc>
          <w:tcPr>
            <w:tcBorders>
              <w:left w:val="single" w:color="auto" w:sz="2" w:space="0"/>
              <w:bottom w:val="single" w:color="auto" w:sz="2" w:space="0"/>
              <w:right w:val="single" w:color="auto" w:sz="2" w:space="0"/>
            </w:tcBorders>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401" w:type="dxa"/>
            <w:vAlign w:val="center"/>
            <w:textDirection w:val="lrTb"/>
            <w:noWrap w:val="false"/>
          </w:tcPr>
          <w:p>
            <w:pPr>
              <w:jc w:val="both"/>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trHeight w:val="588"/>
        </w:trPr>
        <w:tc>
          <w:tcPr>
            <w:tcBorders>
              <w:top w:val="single" w:color="auto" w:sz="2" w:space="0"/>
              <w:right w:val="single" w:color="auto" w:sz="2" w:space="0"/>
            </w:tcBorders>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19</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Borders>
              <w:top w:val="single" w:color="auto" w:sz="2" w:space="0"/>
              <w:left w:val="single" w:color="auto" w:sz="2" w:space="0"/>
              <w:right w:val="single" w:color="auto" w:sz="2" w:space="0"/>
            </w:tcBorders>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解决争议的方法</w:t>
            </w:r>
            <w:r/>
          </w:p>
        </w:tc>
        <w:tc>
          <w:tcPr>
            <w:tcBorders>
              <w:top w:val="single" w:color="auto" w:sz="2" w:space="0"/>
              <w:left w:val="single" w:color="auto" w:sz="2" w:space="0"/>
            </w:tcBorders>
            <w:tcW w:w="5401" w:type="dxa"/>
            <w:vAlign w:val="center"/>
            <w:textDirection w:val="lrTb"/>
            <w:noWrap w:val="false"/>
          </w:tcPr>
          <w:p>
            <w:pPr>
              <w:ind w:firstLine="0"/>
              <w:jc w:val="both"/>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03"/>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w:t>
            </w:r>
            <w:r>
              <w:rPr>
                <w:rFonts w:hint="eastAsia" w:ascii="宋体" w:hAnsi="宋体"/>
                <w:color w:val="000000" w:themeColor="text1"/>
                <w:szCs w:val="21"/>
                <w:lang w:val="en-US" w:eastAsia="zh-CN"/>
                <w14:textFill>
                  <w14:solidFill>
                    <w14:schemeClr w14:val="tx1"/>
                  </w14:solidFill>
                </w14:textFill>
              </w:rPr>
              <w:t xml:space="preserve">3.1</w:t>
            </w:r>
            <w:r>
              <w:rPr>
                <w:rFonts w:hint="eastAsia" w:ascii="宋体" w:hAnsi="宋体"/>
                <w:color w:val="000000" w:themeColor="text1"/>
                <w:szCs w:val="21"/>
                <w:lang w:eastAsia="zh-CN"/>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其他专用条款</w:t>
            </w:r>
            <w:r/>
          </w:p>
        </w:tc>
        <w:tc>
          <w:tcPr>
            <w:tcW w:w="5401"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default" w:ascii="宋体" w:hAnsi="宋体" w:eastAsia="宋体"/>
                <w:color w:val="000000" w:themeColor="text1"/>
                <w:szCs w:val="21"/>
                <w:lang w:val="en-US" w:eastAsia="zh-CN"/>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226"/>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35</w:t>
      </w:r>
      <w:r>
        <w:rPr>
          <w:rFonts w:hint="eastAsia" w:asciiTheme="minorEastAsia" w:hAnsiTheme="minorEastAsia" w:eastAsiaTheme="minorEastAsia" w:cstheme="minorEastAsia"/>
          <w:b/>
          <w:sz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bCs/>
          <w:sz w:val="24"/>
          <w:lang w:val="en-US" w:eastAsia="zh-CN"/>
        </w:rPr>
        <w:t xml:space="preserve">项目人员配置情况</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9</w:t>
      </w:r>
      <w:r>
        <w:rPr>
          <w:rFonts w:hint="eastAsia" w:asciiTheme="minorEastAsia" w:hAnsiTheme="minorEastAsia" w:eastAsiaTheme="minorEastAsia" w:cstheme="minorEastAsia"/>
          <w:b/>
          <w:sz w:val="24"/>
          <w:szCs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lang w:val="en-US" w:eastAsia="zh-CN"/>
        </w:rPr>
        <w:t xml:space="preserve">业绩</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2</w:t>
      </w:r>
      <w:r>
        <w:rPr>
          <w:rFonts w:hint="eastAsia" w:asciiTheme="minorEastAsia" w:hAnsiTheme="minorEastAsia" w:eastAsiaTheme="minorEastAsia" w:cstheme="minorEastAsia"/>
          <w:b/>
          <w:sz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szCs w:val="22"/>
          <w:lang w:val="en-US" w:eastAsia="zh-CN" w:bidi="ar-SA"/>
        </w:rPr>
      </w:pPr>
      <w:r>
        <w:rPr>
          <w:rFonts w:hint="eastAsia" w:asciiTheme="minorEastAsia" w:hAnsiTheme="minorEastAsia" w:eastAsiaTheme="minorEastAsia" w:cstheme="minorEastAsia"/>
          <w:b/>
          <w:sz w:val="24"/>
          <w:szCs w:val="22"/>
          <w:lang w:val="en-US" w:eastAsia="zh-CN" w:bidi="ar-SA"/>
        </w:rPr>
        <w:t xml:space="preserve">4、技术响应                                                     10分</w:t>
      </w:r>
      <w:r/>
    </w:p>
    <w:p>
      <w:pPr>
        <w:numPr>
          <w:ilvl w:val="0"/>
          <w:numId w:val="0"/>
        </w:numPr>
        <w:ind w:left="361" w:firstLine="0"/>
        <w:spacing w:line="360" w:lineRule="auto"/>
        <w:rPr>
          <w:rFonts w:hint="eastAsia" w:asciiTheme="minorEastAsia" w:hAnsiTheme="minorEastAsia" w:eastAsiaTheme="minorEastAsia" w:cstheme="minorEastAsia"/>
          <w:b/>
          <w:sz w:val="24"/>
          <w:szCs w:val="22"/>
          <w:lang w:val="en-US" w:eastAsia="zh-CN" w:bidi="ar-SA"/>
        </w:rPr>
      </w:pPr>
      <w:r>
        <w:rPr>
          <w:rFonts w:hint="eastAsia" w:asciiTheme="minorEastAsia" w:hAnsiTheme="minorEastAsia" w:eastAsiaTheme="minorEastAsia" w:cstheme="minorEastAsia"/>
          <w:b/>
          <w:sz w:val="24"/>
          <w:szCs w:val="22"/>
          <w:lang w:val="en-US" w:eastAsia="zh-CN" w:bidi="ar-SA"/>
        </w:rPr>
        <w:t xml:space="preserve">5、演示                                                         6分</w:t>
      </w:r>
      <w:r/>
    </w:p>
    <w:p>
      <w:pPr>
        <w:numPr>
          <w:ilvl w:val="0"/>
          <w:numId w:val="0"/>
        </w:numPr>
        <w:ind w:left="361" w:firstLine="0"/>
        <w:spacing w:line="360" w:lineRule="auto"/>
        <w:rPr>
          <w:rFonts w:hint="eastAsia" w:asciiTheme="minorEastAsia" w:hAnsiTheme="minorEastAsia" w:eastAsiaTheme="minorEastAsia" w:cstheme="minorEastAsia"/>
          <w:b/>
          <w:sz w:val="24"/>
          <w:szCs w:val="22"/>
          <w:lang w:val="en-US" w:eastAsia="zh-CN" w:bidi="ar-SA"/>
        </w:rPr>
      </w:pPr>
      <w:r>
        <w:rPr>
          <w:rFonts w:hint="eastAsia" w:asciiTheme="minorEastAsia" w:hAnsiTheme="minorEastAsia" w:eastAsiaTheme="minorEastAsia" w:cstheme="minorEastAsia"/>
          <w:b/>
          <w:sz w:val="24"/>
          <w:szCs w:val="22"/>
          <w:lang w:val="en-US" w:eastAsia="zh-CN" w:bidi="ar-SA"/>
        </w:rPr>
        <w:t xml:space="preserve">6、技术方案（暗标部分）                                         36分</w:t>
      </w:r>
      <w:r/>
    </w:p>
    <w:p>
      <w:pPr>
        <w:numPr>
          <w:ilvl w:val="0"/>
          <w:numId w:val="0"/>
        </w:numPr>
        <w:ind w:left="361" w:firstLine="0"/>
        <w:spacing w:line="360" w:lineRule="auto"/>
        <w:rPr>
          <w:rFonts w:hint="eastAsia"/>
          <w:lang w:val="en-US" w:eastAsia="zh-CN"/>
        </w:rPr>
      </w:pPr>
      <w:r>
        <w:rPr>
          <w:rFonts w:hint="eastAsia" w:asciiTheme="minorEastAsia" w:hAnsiTheme="minorEastAsia" w:eastAsiaTheme="minorEastAsia" w:cstheme="minorEastAsia"/>
          <w:b/>
          <w:sz w:val="24"/>
          <w:szCs w:val="22"/>
          <w:lang w:val="en-US" w:eastAsia="zh-CN" w:bidi="ar-SA"/>
        </w:rPr>
        <w:t xml:space="preserve">7、政策加分                                                     2分</w:t>
      </w:r>
      <w:r/>
    </w:p>
    <w:p>
      <w:pPr>
        <w:pStyle w:val="1257"/>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w:t>
      </w:r>
      <w:r>
        <w:rPr>
          <w:rFonts w:hint="eastAsia" w:asciiTheme="minorEastAsia" w:hAnsiTheme="minorEastAsia" w:eastAsiaTheme="minorEastAsia" w:cstheme="minorEastAsia"/>
          <w:b/>
          <w:lang w:val="en-US" w:eastAsia="zh-CN"/>
        </w:rPr>
        <w:t xml:space="preserve">35</w:t>
      </w:r>
      <w:r>
        <w:rPr>
          <w:rFonts w:hint="eastAsia" w:asciiTheme="minorEastAsia" w:hAnsiTheme="minorEastAsia" w:eastAsiaTheme="minorEastAsia" w:cstheme="minorEastAsia"/>
          <w:b/>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360" w:lineRule="auto"/>
        <w:rPr>
          <w:rFonts w:hint="eastAsia" w:asciiTheme="minorEastAsia" w:hAnsiTheme="minorEastAsia" w:eastAsiaTheme="minorEastAsia" w:cstheme="minorEastAsia"/>
          <w:b/>
          <w:bCs/>
          <w:sz w:val="24"/>
          <w:szCs w:val="24"/>
        </w:rPr>
      </w:pPr>
      <w:r>
        <w:rPr>
          <w:rFonts w:hint="eastAsia" w:ascii="宋体" w:hAnsi="宋体" w:cs="宋体"/>
          <w:bCs/>
          <w:color w:val="000000"/>
          <w:sz w:val="24"/>
          <w:szCs w:val="24"/>
          <w:lang w:val="en-US" w:eastAsia="zh-CN"/>
        </w:rPr>
        <w:t xml:space="preserve">二、</w:t>
      </w:r>
      <w:r>
        <w:rPr>
          <w:rFonts w:hint="eastAsia" w:asciiTheme="minorEastAsia" w:hAnsiTheme="minorEastAsia" w:eastAsiaTheme="minorEastAsia" w:cstheme="minorEastAsia"/>
          <w:b/>
          <w:bCs/>
          <w:sz w:val="24"/>
          <w:szCs w:val="24"/>
        </w:rPr>
        <w:t xml:space="preserve">项目人员配置情况（9分）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2.1项目负责人（2分）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配备项目负责人1名，具备高级工程师（通信工程专业）职称证书的得1分。具备信息分系统项目管理师证书（高级）的得1分。本项最高得2分须提供相关证书扫描件。</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2.2项目技术负责人（2分）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配备项目技术负责人1名，具备系统架构设计师证书的得1分；具备系统规划与管理师证书的得1分。本项最高得2分。须提供相关证书扫描件</w:t>
      </w:r>
      <w:r>
        <w:rPr>
          <w:rFonts w:hint="eastAsia" w:asciiTheme="minorEastAsia" w:hAnsiTheme="minorEastAsia" w:eastAsiaTheme="minorEastAsia" w:cstheme="minorEastAsia"/>
          <w:sz w:val="24"/>
          <w:szCs w:val="24"/>
        </w:rPr>
        <w:t xml:space="preserve">。</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2.3项目成员（5分）</w:t>
      </w:r>
      <w:r/>
    </w:p>
    <w:p>
      <w:p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color w:val="000000"/>
          <w:sz w:val="24"/>
          <w:szCs w:val="24"/>
        </w:rPr>
        <w:t xml:space="preserve">除上述项目负责人和项目技术负责人之外，</w:t>
      </w:r>
      <w:r>
        <w:rPr>
          <w:rFonts w:hint="eastAsia" w:asciiTheme="minorEastAsia" w:hAnsiTheme="minorEastAsia" w:eastAsiaTheme="minorEastAsia" w:cstheme="minorEastAsia"/>
          <w:bCs/>
          <w:color w:val="000000"/>
          <w:sz w:val="24"/>
          <w:szCs w:val="24"/>
          <w:lang w:bidi="ar"/>
        </w:rPr>
        <w:t xml:space="preserve">项目成员具有系统分析师、系统架构设计师、网络规划设计师、数据库系统工程师、软件设计师，每提供一例证书得1分，最高得5分。须提供相应证书扫描件，多人同证、一人多证均不重复计分。</w:t>
      </w:r>
      <w:r>
        <w:rPr>
          <w:rFonts w:hint="eastAsia" w:asciiTheme="minorEastAsia" w:hAnsiTheme="minorEastAsia" w:eastAsiaTheme="minorEastAsia" w:cstheme="minorEastAsia"/>
          <w:color w:val="000000"/>
          <w:sz w:val="24"/>
          <w:szCs w:val="24"/>
        </w:rPr>
        <w:t xml:space="preserve">须提供相关证书扫描件。</w:t>
      </w:r>
      <w:r/>
    </w:p>
    <w:p>
      <w:pPr>
        <w:ind w:left="1" w:firstLine="480"/>
        <w:spacing w:line="360" w:lineRule="auto"/>
        <w:tabs>
          <w:tab w:val="left" w:pos="840" w:leader="none"/>
          <w:tab w:val="left" w:pos="105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sz w:val="24"/>
          <w:szCs w:val="24"/>
        </w:rPr>
        <w:t xml:space="preserve">提供上述证书等相关证明材料原件扫描件上传至投标文件中并加盖投标人电子公章；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2"/>
        <w:spacing w:line="360" w:lineRule="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三、业绩（2分）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Cs/>
          <w:color w:val="000000"/>
          <w:sz w:val="24"/>
          <w:szCs w:val="24"/>
          <w:lang w:bidi="ar"/>
        </w:rPr>
        <w:t xml:space="preserve">投标供应商自2023年1月1日至本项目投标截止日，承担过类似业绩案例，每提供一个案例合同得1分，最多得2分。（</w:t>
      </w:r>
      <w:r>
        <w:rPr>
          <w:rFonts w:hint="eastAsia" w:ascii="宋体" w:hAnsi="宋体" w:eastAsia="宋体" w:cs="宋体"/>
          <w:b/>
          <w:bCs/>
          <w:color w:val="auto"/>
          <w:sz w:val="24"/>
          <w:szCs w:val="24"/>
          <w:highlight w:val="none"/>
          <w:lang w:val="en-US" w:eastAsia="zh-CN"/>
        </w:rPr>
        <w:t xml:space="preserve">【需提供单份有效期内的①合同或协议、②资金往来证明、③验收证明（能够证明本项目已完成的证明材料）时间以合同（协议）上签订时间为准，投标人须提供上述证明材料原件扫描件上传到电子标书，并加盖投标人电子公章，不提供不得分】</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lang w:val="en-US" w:eastAsia="zh-CN"/>
        </w:rPr>
        <w:t xml:space="preserve">四</w:t>
      </w:r>
      <w:r>
        <w:rPr>
          <w:rFonts w:hint="eastAsia" w:asciiTheme="minorEastAsia" w:hAnsiTheme="minorEastAsia" w:eastAsiaTheme="minorEastAsia" w:cstheme="minorEastAsia"/>
          <w:b/>
          <w:sz w:val="24"/>
          <w:szCs w:val="24"/>
        </w:rPr>
        <w:t xml:space="preserve">、产品性能（</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28" w:name="OLE_LINK12"/>
      <w:r>
        <w:rPr>
          <w:rFonts w:hint="eastAsia" w:ascii="宋体" w:hAnsi="宋体" w:eastAsia="宋体" w:cs="宋体"/>
          <w:b/>
          <w:bCs w:val="0"/>
          <w:sz w:val="28"/>
          <w:szCs w:val="28"/>
          <w:highlight w:val="none"/>
          <w:lang w:val="en-US" w:eastAsia="zh-CN"/>
        </w:rPr>
        <w:t xml:space="preserve">得分项目参数必须在《投标偏离表》实报内容中填写并注明为正偏离</w:t>
      </w:r>
      <w:r>
        <w:rPr>
          <w:rFonts w:hint="eastAsia" w:ascii="宋体" w:hAnsi="宋体" w:eastAsia="宋体" w:cs="宋体"/>
          <w:b/>
          <w:bCs w:val="0"/>
          <w:sz w:val="28"/>
          <w:szCs w:val="28"/>
          <w:highlight w:val="none"/>
        </w:rPr>
        <w:t xml:space="preserve">，</w:t>
      </w:r>
      <w:r>
        <w:rPr>
          <w:rFonts w:hint="eastAsia" w:ascii="宋体" w:hAnsi="宋体" w:eastAsia="宋体" w:cs="宋体"/>
          <w:b/>
          <w:bCs w:val="0"/>
          <w:sz w:val="28"/>
          <w:szCs w:val="28"/>
          <w:highlight w:val="none"/>
          <w:lang w:val="en-US" w:eastAsia="zh-CN"/>
        </w:rPr>
        <w:t xml:space="preserve">未按要求提供证明材料和不按要求填写的，不得分。</w:t>
      </w:r>
      <w:r>
        <w:rPr>
          <w:rFonts w:hint="eastAsia" w:ascii="宋体" w:hAnsi="宋体" w:eastAsia="宋体" w:cs="宋体"/>
          <w:b/>
          <w:bCs w:val="0"/>
          <w:sz w:val="28"/>
          <w:szCs w:val="24"/>
          <w:highlight w:val="none"/>
        </w:rPr>
        <w:t xml:space="preserve">以下技术参数需根据</w:t>
      </w:r>
      <w:r>
        <w:rPr>
          <w:rFonts w:ascii="宋体" w:hAnsi="宋体" w:eastAsia="宋体" w:cs="宋体"/>
          <w:b/>
          <w:bCs w:val="0"/>
          <w:sz w:val="28"/>
          <w:szCs w:val="24"/>
          <w:highlight w:val="none"/>
        </w:rPr>
        <w:t xml:space="preserve">要求</w:t>
      </w:r>
      <w:r>
        <w:rPr>
          <w:rFonts w:hint="eastAsia" w:ascii="宋体" w:hAnsi="宋体" w:eastAsia="宋体" w:cs="宋体"/>
          <w:b/>
          <w:bCs w:val="0"/>
          <w:sz w:val="28"/>
          <w:szCs w:val="24"/>
          <w:highlight w:val="none"/>
        </w:rPr>
        <w:t xml:space="preserve">提供相关证明材料（如产品说明书、彩页</w:t>
      </w:r>
      <w:r>
        <w:rPr>
          <w:rFonts w:ascii="宋体" w:hAnsi="宋体" w:eastAsia="宋体" w:cs="宋体"/>
          <w:b/>
          <w:bCs w:val="0"/>
          <w:sz w:val="28"/>
          <w:szCs w:val="24"/>
          <w:highlight w:val="none"/>
        </w:rPr>
        <w:t xml:space="preserve">、</w:t>
      </w:r>
      <w:r>
        <w:rPr>
          <w:rFonts w:hint="eastAsia" w:ascii="宋体" w:hAnsi="宋体" w:eastAsia="宋体" w:cs="宋体"/>
          <w:b/>
          <w:bCs w:val="0"/>
          <w:sz w:val="28"/>
          <w:szCs w:val="24"/>
          <w:highlight w:val="none"/>
        </w:rPr>
        <w:t xml:space="preserve">相关检测报告、白皮书、手册、</w:t>
      </w:r>
      <w:r>
        <w:rPr>
          <w:rFonts w:ascii="宋体" w:hAnsi="宋体" w:eastAsia="宋体" w:cs="宋体"/>
          <w:b/>
          <w:bCs w:val="0"/>
          <w:sz w:val="28"/>
          <w:szCs w:val="24"/>
          <w:highlight w:val="none"/>
        </w:rPr>
        <w:t xml:space="preserve">专利证书</w:t>
      </w:r>
      <w:r>
        <w:rPr>
          <w:rFonts w:hint="eastAsia" w:ascii="宋体" w:hAnsi="宋体" w:eastAsia="宋体" w:cs="宋体"/>
          <w:b/>
          <w:bCs w:val="0"/>
          <w:sz w:val="28"/>
          <w:szCs w:val="24"/>
          <w:highlight w:val="none"/>
        </w:rPr>
        <w:t xml:space="preserve">等）进行说明，并将证明材料扫描件上传至苏</w:t>
      </w:r>
      <w:r>
        <w:rPr>
          <w:rFonts w:hint="eastAsia" w:ascii="宋体" w:hAnsi="宋体" w:eastAsia="宋体" w:cs="宋体"/>
          <w:b/>
          <w:bCs w:val="0"/>
          <w:sz w:val="28"/>
          <w:szCs w:val="24"/>
          <w:highlight w:val="none"/>
          <w:lang w:val="en-US" w:eastAsia="zh-CN"/>
        </w:rPr>
        <w:t xml:space="preserve">采</w:t>
      </w:r>
      <w:r>
        <w:rPr>
          <w:rFonts w:hint="eastAsia" w:ascii="宋体" w:hAnsi="宋体" w:eastAsia="宋体" w:cs="宋体"/>
          <w:b/>
          <w:bCs w:val="0"/>
          <w:sz w:val="28"/>
          <w:szCs w:val="24"/>
          <w:highlight w:val="none"/>
        </w:rPr>
        <w:t xml:space="preserve">云投标系统，</w:t>
      </w:r>
      <w:bookmarkStart w:id="29" w:name="OLE_LINK13"/>
      <w:r>
        <w:rPr>
          <w:rFonts w:hint="eastAsia" w:ascii="宋体" w:hAnsi="宋体" w:eastAsia="宋体" w:cs="宋体"/>
          <w:b/>
          <w:bCs w:val="0"/>
          <w:sz w:val="28"/>
          <w:szCs w:val="24"/>
          <w:highlight w:val="none"/>
        </w:rPr>
        <w:t xml:space="preserve">每项按评分</w:t>
      </w:r>
      <w:r>
        <w:rPr>
          <w:rFonts w:ascii="宋体" w:hAnsi="宋体" w:eastAsia="宋体" w:cs="宋体"/>
          <w:b/>
          <w:bCs w:val="0"/>
          <w:sz w:val="28"/>
          <w:szCs w:val="24"/>
          <w:highlight w:val="none"/>
        </w:rPr>
        <w:t xml:space="preserve">标准</w:t>
      </w:r>
      <w:r>
        <w:rPr>
          <w:rFonts w:hint="eastAsia" w:ascii="宋体" w:hAnsi="宋体" w:eastAsia="宋体" w:cs="宋体"/>
          <w:b/>
          <w:bCs w:val="0"/>
          <w:sz w:val="28"/>
          <w:szCs w:val="24"/>
          <w:highlight w:val="none"/>
        </w:rPr>
        <w:t xml:space="preserve">得分，未提供或提供的相关证明材料不能佐证评分参数内容的，评审时不予认可</w:t>
      </w:r>
      <w:bookmarkEnd w:id="28"/>
      <w:r/>
      <w:bookmarkEnd w:id="29"/>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各投标人在提供证明材料时需对所对应的技术参数进行醒目标注，以便评标委员会进行评审。</w:t>
      </w:r>
      <w:r/>
    </w:p>
    <w:p>
      <w:pPr>
        <w:pStyle w:val="1229"/>
        <w:rPr>
          <w:rFonts w:hint="eastAsia"/>
        </w:rPr>
      </w:pPr>
      <w:r>
        <w:rPr>
          <w:rFonts w:hint="eastAsia"/>
        </w:rPr>
      </w:r>
      <w:r/>
    </w:p>
    <w:p>
      <w:pPr>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（1）信息安全设备</w:t>
      </w:r>
      <w:r/>
    </w:p>
    <w:p>
      <w:pPr>
        <w:ind w:firstLine="480"/>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区级指挥中心日志审计需支持根据设备重要程度设置，独立设置每个被采集源的数据存储，时间满足修改为 1个月＜存储时间≤3个月得1分、3个月＜存储时间≤6个月得1.5分、可永久保存得2分；（提供第三方权威检测机构出具的检测报告证明）本项最高得2分。提供有效期内的检测报告复印件并加盖送检单位（供应商或生产厂家）公章后扫描上传至系统中，不提供或不满足不得分。</w:t>
      </w:r>
      <w:r/>
    </w:p>
    <w:p>
      <w:pPr>
        <w:ind w:firstLine="480"/>
        <w:jc w:val="left"/>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区级指挥中心恶意代码防范需支持系统加固，包含但不限于系统文件保护、病毒免疫、进程保护、注册表保护、危险动作拦截、执行防护等维度。满足≥4个得1分，满足≥5个得2分。（提供第三方权威检测机构出具的检测报告证明）本项最高得2分。提供有效期内的检测报告复印件并加盖送检单位（供应商或生产厂家）公章后扫描上传至系统中，不提供或不满足不得分。</w:t>
      </w:r>
      <w:r/>
    </w:p>
    <w:p>
      <w:pPr>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（2）网络交换机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汇聚交换机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支持CPU保护，可将送CPU的报文，如ARP报文的速率进行限制，使CPU的使用率≤15%，保障了CPU安全。</w:t>
      </w:r>
      <w:r>
        <w:rPr>
          <w:rFonts w:hint="eastAsia" w:asciiTheme="minorEastAsia" w:hAnsiTheme="minorEastAsia" w:eastAsiaTheme="minorEastAsia" w:cstheme="minorEastAsia"/>
          <w:sz w:val="24"/>
          <w:szCs w:val="24"/>
        </w:rPr>
        <w:t xml:space="preserve">（提供第三方权威检测机构出具的检测报告证明）</w:t>
      </w:r>
      <w:bookmarkStart w:id="30" w:name="_Hlk157938548"/>
      <w:r>
        <w:rPr>
          <w:rFonts w:hint="eastAsia" w:asciiTheme="minorEastAsia" w:hAnsiTheme="minorEastAsia" w:eastAsiaTheme="minorEastAsia" w:cstheme="minorEastAsia"/>
          <w:sz w:val="24"/>
          <w:szCs w:val="24"/>
        </w:rPr>
        <w:t xml:space="preserve">本项最高得1分。提供有效期内的检测报告复印件并加盖送检单位（供应商或生产厂家）公章后扫描上传至系统中，不提供或不满足不得分</w:t>
      </w:r>
      <w:bookmarkEnd w:id="30"/>
      <w:r>
        <w:rPr>
          <w:rFonts w:hint="eastAsia" w:asciiTheme="minorEastAsia" w:hAnsiTheme="minorEastAsia" w:eastAsiaTheme="minorEastAsia" w:cstheme="minorEastAsia"/>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核心交换机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虚拟化，可将多台物理设备虚拟化为一台逻辑设备统一管理，并且链路故障的收敛时间≤50ms的得1分，（提供第三方权威检测机构出具的检测报告证明）。本项最高得1分。提供有效期内的检测报告复印件并加盖送检单位（供应商或生产厂家）公章后扫描上传至系统中，不提供或不满足不得分。</w:t>
      </w:r>
      <w:r/>
    </w:p>
    <w:p>
      <w:pPr>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（3）考试巡查终端</w:t>
      </w:r>
      <w:r/>
    </w:p>
    <w:p>
      <w:pPr>
        <w:ind w:firstLine="480"/>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校级SIP服务器：八种服务内容，包含但不限于任务管理、题库管理、试卷管理、考核管理、系统管理、机构管理、人员管理、答题管理等。服务内容≥4种得1分，≥6种得1.5分，≥8种得2分，本项最高得2分（提供第三方权威检测机构出具的检测报告证明）。提供有效期内的检测报告复印件并加盖送检单位（供应商或生产厂家）公章后扫描上传至系统中，不提供或不满足不得分。</w:t>
      </w:r>
      <w:r/>
    </w:p>
    <w:p>
      <w:pPr>
        <w:ind w:firstLine="480"/>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路网络音视频解码器：支持≥13种画面分割显示，支持M×N≤100的任意分割。可在单屏或多屏的任意位置上叠加显示，图层≥100层。画面取流异常时，支持异常事件上报，包括登录失败、密码错误、密码锁定、rtsp交互失败等信息。（提供第三方权威检测机构出具的检测报告证明）本项最高得2分。提供有效期内的检测报告复印件并加盖送检单位（供应商或生产厂家）公章后扫描上传至系统中，不提供或不满足不得分。</w:t>
      </w:r>
      <w:r/>
    </w:p>
    <w:p>
      <w:pPr>
        <w:ind w:firstLine="482"/>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五、演示（6分）</w:t>
      </w:r>
      <w:r/>
    </w:p>
    <w:p>
      <w:pPr>
        <w:ind w:firstLine="482"/>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p>
    <w:p>
      <w:pPr>
        <w:ind w:firstLine="480"/>
        <w:jc w:val="left"/>
        <w:spacing w:line="360" w:lineRule="auto"/>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投标人提供标准化考场智能运维管理平台：</w:t>
      </w:r>
      <w:r/>
    </w:p>
    <w:p>
      <w:pPr>
        <w:ind w:firstLine="480"/>
        <w:jc w:val="left"/>
        <w:spacing w:line="360" w:lineRule="auto"/>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①支持通过SNMP、SSH、Telnet、WMI、JDBC、JMX、HTTP、IPMI8种常见设备采集协议，纳管考场设备，得1分，未按要求进行演示或者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w:t>
      </w:r>
      <w:r/>
    </w:p>
    <w:p>
      <w:pPr>
        <w:ind w:firstLine="480"/>
        <w:jc w:val="left"/>
        <w:spacing w:line="360" w:lineRule="auto"/>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②可通过数智大屏展示虚拟数字人，并采用虚拟数字人对运维大屏数据自动化讲解，得1分，未按要求进行演示或者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w:t>
      </w:r>
      <w:r/>
    </w:p>
    <w:p>
      <w:pPr>
        <w:ind w:firstLine="480"/>
        <w:jc w:val="left"/>
        <w:spacing w:line="360" w:lineRule="auto"/>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；③支持配置Ping、DNS、Https、traceroute协议类型的拨测任务，对业务服务可用性、时延、状态码、耗时时间等自动化拨测，得1分，未按要求进行演示或者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w:t>
      </w:r>
      <w:r/>
    </w:p>
    <w:p>
      <w:pPr>
        <w:ind w:firstLine="480"/>
        <w:jc w:val="left"/>
        <w:spacing w:line="360" w:lineRule="auto"/>
        <w:rPr>
          <w:rFonts w:hint="eastAsia" w:asciiTheme="minorEastAsia" w:hAnsiTheme="minorEastAsia" w:eastAsiaTheme="minorEastAsia" w:cstheme="minorEastAsia"/>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④可通过图形化流程设计工具，实现事件管理、问题管理、变更管理流程的灵活设计，支持运维流程工单可视化，得1分，未按要求进行演示或者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w:t>
      </w:r>
      <w:r>
        <w:rPr>
          <w:rFonts w:hint="eastAsia" w:asciiTheme="minorEastAsia" w:hAnsiTheme="minorEastAsia" w:eastAsiaTheme="minorEastAsia" w:cstheme="minorEastAsia"/>
          <w:color w:val="000000"/>
          <w:sz w:val="24"/>
          <w:szCs w:val="24"/>
          <w:lang w:val="en-US" w:eastAsia="zh-CN"/>
        </w:rPr>
        <w:t xml:space="preserve">    </w:t>
      </w:r>
      <w:r/>
    </w:p>
    <w:p>
      <w:pPr>
        <w:ind w:firstLine="480"/>
        <w:jc w:val="left"/>
        <w:spacing w:line="360" w:lineRule="auto"/>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⑤具备智能问答运维机器人，自动分析用户提问内容，自动为用户总结答案，并标注答案分析来源，得1分，未按要求进行演示或者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w:t>
      </w:r>
      <w:r/>
    </w:p>
    <w:p>
      <w:pPr>
        <w:ind w:firstLine="480"/>
        <w:jc w:val="left"/>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⑥自动运维报告，支持按照项目维度自动化导出运维服务报告，包括业务总体健康概览及评分、纳管设备、告警分析、工单分析等数据，得1分，未按要求进行演示或者</w:t>
      </w:r>
      <w:r>
        <w:rPr>
          <w:rFonts w:hint="eastAsia" w:asciiTheme="minorEastAsia" w:hAnsiTheme="minorEastAsia" w:eastAsiaTheme="minorEastAsia" w:cstheme="minorEastAsia"/>
          <w:color w:val="000000"/>
          <w:sz w:val="24"/>
          <w:szCs w:val="24"/>
          <w:lang w:val="en-US" w:eastAsia="zh-CN"/>
        </w:rPr>
        <w:t xml:space="preserve">演示不清晰、</w:t>
      </w:r>
      <w:r>
        <w:rPr>
          <w:rFonts w:hint="eastAsia" w:asciiTheme="minorEastAsia" w:hAnsiTheme="minorEastAsia" w:eastAsiaTheme="minorEastAsia" w:cstheme="minorEastAsia"/>
          <w:color w:val="000000"/>
          <w:sz w:val="24"/>
          <w:szCs w:val="24"/>
        </w:rPr>
        <w:t xml:space="preserve">未提供演示的不得分。最高得6分。</w:t>
      </w:r>
      <w:r/>
    </w:p>
    <w:p>
      <w:pPr>
        <w:pStyle w:val="1257"/>
        <w:ind w:firstLine="360"/>
        <w:spacing w:before="0" w:after="0"/>
        <w:rPr>
          <w:rFonts w:hint="eastAsia" w:ascii="宋体" w:hAnsi="宋体"/>
          <w:b/>
          <w:sz w:val="28"/>
          <w:szCs w:val="28"/>
        </w:rPr>
      </w:pPr>
      <w:r>
        <w:rPr>
          <w:rFonts w:hint="eastAsia" w:ascii="宋体" w:hAnsi="宋体"/>
          <w:b/>
          <w:sz w:val="28"/>
          <w:szCs w:val="28"/>
        </w:rPr>
        <w:t xml:space="preserve">四、技术</w:t>
      </w:r>
      <w:r>
        <w:rPr>
          <w:rFonts w:hint="eastAsia" w:ascii="宋体" w:hAnsi="宋体"/>
          <w:b/>
          <w:sz w:val="28"/>
          <w:szCs w:val="28"/>
          <w:lang w:val="en-US" w:eastAsia="zh-CN"/>
        </w:rPr>
        <w:t xml:space="preserve">方案</w:t>
      </w:r>
      <w:r>
        <w:rPr>
          <w:rFonts w:hint="eastAsia" w:ascii="宋体" w:hAnsi="宋体"/>
          <w:b/>
          <w:sz w:val="28"/>
          <w:szCs w:val="28"/>
        </w:rPr>
        <w:t xml:space="preserve">（</w:t>
      </w:r>
      <w:r>
        <w:rPr>
          <w:rFonts w:hint="eastAsia" w:ascii="宋体" w:hAnsi="宋体"/>
          <w:b/>
          <w:sz w:val="28"/>
          <w:szCs w:val="28"/>
          <w:lang w:val="en-US" w:eastAsia="zh-CN"/>
        </w:rPr>
        <w:t xml:space="preserve">3</w:t>
      </w:r>
      <w:r>
        <w:rPr>
          <w:rFonts w:hint="eastAsia" w:ascii="宋体" w:hAnsi="宋体"/>
          <w:b/>
          <w:sz w:val="28"/>
          <w:szCs w:val="28"/>
        </w:rPr>
        <w:t xml:space="preserve">6分）（暗标要求已更新，详见供应商须知）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产品</w:t>
      </w:r>
      <w:r>
        <w:rPr>
          <w:rFonts w:hint="eastAsia" w:asciiTheme="minorEastAsia" w:hAnsiTheme="minorEastAsia" w:eastAsiaTheme="minorEastAsia" w:cstheme="minorEastAsia"/>
          <w:sz w:val="24"/>
          <w:szCs w:val="24"/>
          <w:highlight w:val="none"/>
        </w:rPr>
        <w:t xml:space="preserve">施方案（</w:t>
      </w:r>
      <w:r>
        <w:rPr>
          <w:rFonts w:hint="eastAsia" w:asciiTheme="minorEastAsia" w:hAnsiTheme="minorEastAsia" w:eastAsiaTheme="minorEastAsia" w:cstheme="minorEastAsia"/>
          <w:sz w:val="24"/>
          <w:szCs w:val="24"/>
          <w:highlight w:val="none"/>
          <w:lang w:val="en-US" w:eastAsia="zh-CN"/>
        </w:rPr>
        <w:t xml:space="preserve">16</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①网上巡查系统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②身份认证系统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③作弊防控系统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④视频会议和考试指挥系统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⑤试卷跟踪系统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⑥考场实时分析系统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⑦网络时钟系统及安检门系统</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⑧针对性建设方案</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w:t>
      </w:r>
      <w:r>
        <w:rPr>
          <w:rFonts w:hint="eastAsia" w:asciiTheme="minorEastAsia" w:hAnsiTheme="minorEastAsia" w:eastAsiaTheme="minorEastAsia" w:cstheme="minorEastAsia"/>
          <w:sz w:val="24"/>
          <w:szCs w:val="24"/>
          <w:highlight w:val="none"/>
          <w:lang w:val="en-US" w:eastAsia="zh-CN"/>
        </w:rPr>
        <w:t xml:space="preserve">以上每点内容</w:t>
      </w:r>
      <w:r>
        <w:rPr>
          <w:rFonts w:hint="eastAsia" w:asciiTheme="minorEastAsia" w:hAnsiTheme="minorEastAsia" w:eastAsiaTheme="minorEastAsia" w:cstheme="minorEastAsia"/>
          <w:sz w:val="24"/>
          <w:szCs w:val="24"/>
          <w:highlight w:val="none"/>
        </w:rPr>
        <w:t xml:space="preserve">不存在瑕疵的该条得2分；存在1处瑕疵的该条得</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分；存在</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处瑕疵的该条得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未提供方案或不满足项目需求书要求或内容存在</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16</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实施方案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①项目实施现状调研</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②项目实施组织机构合理程度</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③项目实施人员配备方案</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④项目实施进度计划保障</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⑤针对本项目的试运行测试计划</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w:t>
      </w:r>
      <w:r>
        <w:rPr>
          <w:rFonts w:hint="eastAsia" w:asciiTheme="minorEastAsia" w:hAnsiTheme="minorEastAsia" w:eastAsiaTheme="minorEastAsia" w:cstheme="minorEastAsia"/>
          <w:sz w:val="24"/>
          <w:szCs w:val="24"/>
          <w:highlight w:val="none"/>
          <w:lang w:val="en-US" w:eastAsia="zh-CN"/>
        </w:rPr>
        <w:t xml:space="preserve">以上每点内容</w:t>
      </w:r>
      <w:r>
        <w:rPr>
          <w:rFonts w:hint="eastAsia" w:asciiTheme="minorEastAsia" w:hAnsiTheme="minorEastAsia" w:eastAsiaTheme="minorEastAsia" w:cstheme="minorEastAsia"/>
          <w:sz w:val="24"/>
          <w:szCs w:val="24"/>
          <w:highlight w:val="none"/>
        </w:rPr>
        <w:t xml:space="preserve">不存在瑕疵的该条得2分；存在1处瑕疵的该条得</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分；存在</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处瑕疵的该条得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未提供方案或不满足项目需求书要求或内容存在</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val="en-US" w:eastAsia="zh-CN"/>
        </w:rPr>
        <w:t xml:space="preserve">考试服务</w:t>
      </w:r>
      <w:r>
        <w:rPr>
          <w:rFonts w:hint="eastAsia" w:asciiTheme="minorEastAsia" w:hAnsiTheme="minorEastAsia" w:eastAsiaTheme="minorEastAsia" w:cstheme="minorEastAsia"/>
          <w:sz w:val="24"/>
          <w:szCs w:val="24"/>
          <w:highlight w:val="none"/>
        </w:rPr>
        <w:t xml:space="preserve">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①考试服务的人员组织</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②考试服务的服务标准</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③考试服务应急保障计划</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④考试服务的服务响应方案</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⑤与上级平台的联动保障方案</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w:t>
      </w:r>
      <w:r>
        <w:rPr>
          <w:rFonts w:hint="eastAsia" w:asciiTheme="minorEastAsia" w:hAnsiTheme="minorEastAsia" w:eastAsiaTheme="minorEastAsia" w:cstheme="minorEastAsia"/>
          <w:sz w:val="24"/>
          <w:szCs w:val="24"/>
          <w:highlight w:val="none"/>
          <w:lang w:val="en-US" w:eastAsia="zh-CN"/>
        </w:rPr>
        <w:t xml:space="preserve">以上每点内容</w:t>
      </w:r>
      <w:r>
        <w:rPr>
          <w:rFonts w:hint="eastAsia" w:asciiTheme="minorEastAsia" w:hAnsiTheme="minorEastAsia" w:eastAsiaTheme="minorEastAsia" w:cstheme="minorEastAsia"/>
          <w:sz w:val="24"/>
          <w:szCs w:val="24"/>
          <w:highlight w:val="none"/>
        </w:rPr>
        <w:t xml:space="preserve">不存在瑕疵的该条得2分；存在1处瑕疵的该条得</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分；存在</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处瑕疵的该条得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未提供方案或不满足项目需求书要求或内容存在</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五、政策加分（2分）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236"/>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236"/>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采购项目编号：JSZC-320205-JZCG-G2026-0047</w:t>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采购项目名称：无锡市锡山区教育考试标准化考点建设项目</w:t>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供应商：</w:t>
      </w:r>
      <w:r/>
    </w:p>
    <w:p>
      <w:pPr>
        <w:pStyle w:val="12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249"/>
        <w:ind w:firstLine="0"/>
        <w:rPr>
          <w:color w:val="000000"/>
          <w:highlight w:val="none"/>
        </w:rPr>
      </w:pPr>
      <w:r/>
      <w:bookmarkStart w:id="31" w:name="一．报价函（格式）"/>
      <w:r/>
      <w:bookmarkEnd w:id="31"/>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JSZC-320205-JZCG-G2026-0047</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58"/>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4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42"/>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2" w:name="报价方关于资格的声明函（格式）"/>
      <w:r/>
      <w:bookmarkEnd w:id="32"/>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JSZC-320205-JZCG-G2026-0047</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无锡市锡山区教育考试标准化考点建设项目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JSZC-320205-JZCG-G2026-0047</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无锡市锡山区教育考试标准化考点建设项目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36"/>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36"/>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4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3"/>
        <w:rPr>
          <w:color w:val="000000"/>
          <w:highlight w:val="none"/>
        </w:rPr>
      </w:pPr>
      <w:r>
        <w:rPr>
          <w:color w:val="000000"/>
          <w:highlight w:val="none"/>
        </w:rPr>
      </w:r>
      <w:r/>
    </w:p>
    <w:p>
      <w:pPr>
        <w:pStyle w:val="124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43"/>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29"/>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JSZC-320205-JZCG-G2026-0047</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236"/>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项目名称：</w:t>
      </w:r>
      <w:r/>
    </w:p>
    <w:p>
      <w:pPr>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JSZC-320205-JZCG-G2026-0047</w:t>
      </w:r>
      <w:r/>
    </w:p>
    <w:p>
      <w:pPr>
        <w:spacing w:line="36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分包号：采购包</w:t>
      </w:r>
      <w:r/>
    </w:p>
    <w:tbl>
      <w:tblPr>
        <w:tblStyle w:val="1228"/>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总价（小写）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核心产品品牌</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ind w:firstLine="472"/>
        <w:spacing w:line="46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填写说明：</w:t>
      </w:r>
      <w:r/>
    </w:p>
    <w:p>
      <w:pPr>
        <w:numPr>
          <w:ilvl w:val="0"/>
          <w:numId w:val="24"/>
        </w:numPr>
        <w:ind w:firstLine="470"/>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评标时一律按苏采云系统自带的开标一览表中内容为准，开标一览表中必须盖章。</w:t>
      </w:r>
      <w:r/>
    </w:p>
    <w:p>
      <w:pPr>
        <w:pStyle w:val="1236"/>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236"/>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228"/>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59"/>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59"/>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59"/>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59"/>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259"/>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400" w:lineRule="exact"/>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（3）投标供应商对所报相关数据的真实性负责；</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（4）该报价包括实施本项目所需的全部设备、辅助材料、人工费、服务费、运输费、税金、安装调试费及</w:t>
      </w:r>
      <w:r>
        <w:rPr>
          <w:rFonts w:hint="eastAsia" w:ascii="宋体" w:hAnsi="宋体" w:eastAsia="宋体" w:cs="宋体"/>
          <w:color w:val="000000" w:themeColor="text1"/>
          <w:sz w:val="24"/>
          <w:szCs w:val="24"/>
          <w:lang w:val="en-US" w:eastAsia="zh-CN"/>
          <w14:textFill>
            <w14:solidFill>
              <w14:schemeClr w14:val="tx1"/>
            </w14:solidFill>
          </w14:textFill>
        </w:rPr>
        <w:t xml:space="preserve">5年运维服务的</w:t>
      </w:r>
      <w:r>
        <w:rPr>
          <w:rFonts w:hint="eastAsia" w:ascii="宋体" w:hAnsi="宋体" w:eastAsia="宋体" w:cs="宋体"/>
          <w:color w:val="000000" w:themeColor="text1"/>
          <w:sz w:val="24"/>
          <w:szCs w:val="24"/>
          <w14:textFill>
            <w14:solidFill>
              <w14:schemeClr w14:val="tx1"/>
            </w14:solidFill>
          </w14:textFill>
        </w:rPr>
        <w:t xml:space="preserve">其他一切费用。如有漏项，均由中标人承担；以上报价</w:t>
      </w:r>
      <w:r>
        <w:rPr>
          <w:rFonts w:hint="eastAsia" w:ascii="宋体" w:hAnsi="宋体" w:eastAsia="宋体" w:cs="宋体"/>
          <w:color w:val="000000" w:themeColor="text1"/>
          <w:sz w:val="24"/>
          <w:szCs w:val="24"/>
          <w:lang w:val="en-US" w:eastAsia="zh-CN"/>
          <w14:textFill>
            <w14:solidFill>
              <w14:schemeClr w14:val="tx1"/>
            </w14:solidFill>
          </w14:textFill>
        </w:rPr>
        <w:t xml:space="preserve">未</w:t>
      </w:r>
      <w:r>
        <w:rPr>
          <w:rFonts w:hint="eastAsia" w:ascii="宋体" w:hAnsi="宋体" w:eastAsia="宋体" w:cs="宋体"/>
          <w:color w:val="000000" w:themeColor="text1"/>
          <w:sz w:val="24"/>
          <w:szCs w:val="24"/>
          <w14:textFill>
            <w14:solidFill>
              <w14:schemeClr w14:val="tx1"/>
            </w14:solidFill>
          </w14:textFill>
        </w:rPr>
        <w:t xml:space="preserve">含税价</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36"/>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无锡市锡山区教育考试标准化考点建设项目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43"/>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22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253"/>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22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43"/>
        <w:rPr>
          <w:rFonts w:ascii="宋体" w:hAnsi="宋体"/>
          <w:b/>
          <w:bCs/>
          <w:color w:val="000000"/>
          <w:sz w:val="24"/>
          <w:szCs w:val="24"/>
          <w:highlight w:val="none"/>
        </w:rPr>
      </w:pPr>
      <w:r>
        <w:rPr>
          <w:rFonts w:ascii="宋体" w:hAnsi="宋体"/>
          <w:b/>
          <w:bCs/>
          <w:color w:val="000000"/>
          <w:sz w:val="24"/>
          <w:szCs w:val="24"/>
          <w:highlight w:val="none"/>
        </w:rPr>
      </w:r>
      <w:r/>
    </w:p>
    <w:p>
      <w:pPr>
        <w:pStyle w:val="1243"/>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61"/>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3"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3"/>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2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2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2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231"/>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5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261"/>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b/>
          <w:bCs/>
          <w:color w:val="000000"/>
          <w:sz w:val="32"/>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28"/>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29"/>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61"/>
        <w:spacing w:before="160" w:after="160"/>
        <w:rPr>
          <w:b w:val="0"/>
          <w:color w:val="000000"/>
          <w:sz w:val="24"/>
          <w:highlight w:val="none"/>
        </w:rPr>
      </w:pPr>
      <w:r/>
      <w:bookmarkStart w:id="34"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4"/>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_GB2312">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仿宋_GB2312">
    <w:panose1 w:val="02010609060101010101"/>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6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rPr>
        <w:rFonts w:hint="eastAsia" w:ascii="宋体" w:hAnsi="宋体" w:eastAsia="宋体" w:cs="宋体"/>
        <w:sz w:val="15"/>
        <w:szCs w:val="15"/>
      </w:rPr>
    </w:pPr>
    <w:r>
      <w:rPr>
        <w:rFonts w:hint="eastAsia" w:eastAsia="楷体_GB2312"/>
        <w:sz w:val="21"/>
        <w:lang w:eastAsia="zh-CN"/>
      </w:rPr>
      <w:t xml:space="preserve">JSZC-320205-JZCG-G2026-0047</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rPr>
        <w:rFonts w:ascii="Times New Roman" w:hAnsi="Times New Roman" w:eastAsia="楷体_GB2312"/>
        <w:szCs w:val="21"/>
      </w:rPr>
    </w:pPr>
    <w:r>
      <w:rPr>
        <w:rFonts w:ascii="Times New Roman" w:hAnsi="Times New Roman" w:eastAsia="楷体_GB2312"/>
        <w:szCs w:val="21"/>
      </w:rPr>
    </w:r>
    <w:r/>
  </w:p>
  <w:p>
    <w:pPr>
      <w:pStyle w:val="1259"/>
      <w:jc w:val="both"/>
      <w:rPr>
        <w:rFonts w:hint="eastAsia" w:ascii="宋体" w:hAnsi="宋体" w:eastAsia="宋体" w:cs="宋体"/>
        <w:sz w:val="15"/>
        <w:szCs w:val="15"/>
      </w:rPr>
    </w:pPr>
    <w:r>
      <w:rPr>
        <w:rFonts w:hint="eastAsia" w:eastAsia="楷体_GB2312"/>
        <w:sz w:val="21"/>
        <w:lang w:eastAsia="zh-CN"/>
      </w:rPr>
      <w:t xml:space="preserve">JSZC-320205-JZCG-G2026-0047</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rPr>
        <w:rFonts w:eastAsia="楷体_GB2312"/>
        <w:sz w:val="21"/>
      </w:rPr>
    </w:pPr>
    <w:r>
      <w:rPr>
        <w:rFonts w:eastAsia="楷体_GB2312"/>
        <w:sz w:val="21"/>
      </w:rPr>
    </w:r>
    <w:r/>
  </w:p>
  <w:p>
    <w:pPr>
      <w:pStyle w:val="1259"/>
      <w:jc w:val="both"/>
      <w:rPr>
        <w:rFonts w:hint="eastAsia" w:ascii="宋体" w:hAnsi="宋体" w:eastAsia="宋体" w:cs="宋体"/>
        <w:sz w:val="15"/>
        <w:szCs w:val="15"/>
      </w:rPr>
    </w:pPr>
    <w:r>
      <w:rPr>
        <w:rFonts w:hint="eastAsia" w:eastAsia="楷体_GB2312"/>
        <w:sz w:val="21"/>
        <w:lang w:eastAsia="zh-CN"/>
      </w:rPr>
      <w:t xml:space="preserve">JSZC-320205-JZCG-G2026-0047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rPr>
        <w:rFonts w:hint="eastAsia"/>
      </w:rPr>
    </w:pPr>
    <w:r>
      <w:rPr>
        <w:rFonts w:hint="eastAsia" w:eastAsia="楷体_GB2312"/>
        <w:sz w:val="21"/>
        <w:lang w:eastAsia="zh-CN"/>
      </w:rPr>
      <w:t xml:space="preserve">JSZC-320205-JZCG-G2026-0047</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JSZC-320205-JZCG-G2026-0047</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pPr>
    <w:r>
      <w:rPr>
        <w:rFonts w:hint="eastAsia" w:eastAsia="楷体_GB2312"/>
        <w:sz w:val="21"/>
        <w:lang w:eastAsia="zh-CN"/>
      </w:rPr>
      <w:t xml:space="preserve">JSZC-320205-JZCG-G2026-0047</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263"/>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decimal"/>
      <w:isLgl w:val="false"/>
      <w:suff w:val="tab"/>
      <w:lvlText w:val="%2)"/>
      <w:lvlJc w:val="left"/>
      <w:pPr>
        <w:ind w:left="1240" w:hanging="420"/>
        <w:tabs>
          <w:tab w:val="left" w:pos="840" w:leader="none"/>
        </w:tabs>
      </w:pPr>
    </w:lvl>
    <w:lvl w:ilvl="2">
      <w:start w:val="1"/>
      <w:numFmt w:val="lowerLetter"/>
      <w:isLgl w:val="false"/>
      <w:suff w:val="tab"/>
      <w:lvlText w:val="%3."/>
      <w:lvlJc w:val="left"/>
      <w:pPr>
        <w:ind w:left="1660" w:hanging="420"/>
        <w:tabs>
          <w:tab w:val="left" w:pos="1260" w:leader="none"/>
        </w:tabs>
      </w:pPr>
    </w:lvl>
    <w:lvl w:ilvl="3">
      <w:start w:val="1"/>
      <w:numFmt w:val="lowerLetter"/>
      <w:isLgl w:val="false"/>
      <w:suff w:val="tab"/>
      <w:lvlText w:val="%4)"/>
      <w:lvlJc w:val="left"/>
      <w:pPr>
        <w:ind w:left="2080" w:hanging="420"/>
        <w:tabs>
          <w:tab w:val="left" w:pos="1680" w:leader="none"/>
        </w:tabs>
      </w:pPr>
    </w:lvl>
    <w:lvl w:ilvl="4">
      <w:start w:val="1"/>
      <w:numFmt w:val="lowerRoman"/>
      <w:isLgl w:val="false"/>
      <w:suff w:val="tab"/>
      <w:lvlText w:val="%5."/>
      <w:lvlJc w:val="left"/>
      <w:pPr>
        <w:ind w:left="2500" w:hanging="420"/>
        <w:tabs>
          <w:tab w:val="left" w:pos="2100" w:leader="none"/>
        </w:tabs>
      </w:pPr>
    </w:lvl>
    <w:lvl w:ilvl="5">
      <w:start w:val="1"/>
      <w:numFmt w:val="lowerRoman"/>
      <w:isLgl w:val="false"/>
      <w:suff w:val="tab"/>
      <w:lvlText w:val="%6)"/>
      <w:lvlJc w:val="left"/>
      <w:pPr>
        <w:ind w:left="2920" w:hanging="420"/>
        <w:tabs>
          <w:tab w:val="left" w:pos="2520" w:leader="none"/>
        </w:tabs>
      </w:pPr>
    </w:lvl>
    <w:lvl w:ilvl="6">
      <w:start w:val="1"/>
      <w:numFmt w:val="lowerLetter"/>
      <w:isLgl w:val="false"/>
      <w:suff w:val="tab"/>
      <w:lvlText w:val="%7."/>
      <w:lvlJc w:val="left"/>
      <w:pPr>
        <w:ind w:left="3340" w:hanging="420"/>
        <w:tabs>
          <w:tab w:val="left" w:pos="2940" w:leader="none"/>
        </w:tabs>
      </w:pPr>
    </w:lvl>
    <w:lvl w:ilvl="7">
      <w:start w:val="1"/>
      <w:numFmt w:val="lowerLetter"/>
      <w:isLgl w:val="false"/>
      <w:suff w:val="tab"/>
      <w:lvlText w:val="%8)"/>
      <w:lvlJc w:val="left"/>
      <w:pPr>
        <w:ind w:left="3760" w:hanging="420"/>
        <w:tabs>
          <w:tab w:val="left" w:pos="3360" w:leader="none"/>
        </w:tabs>
      </w:pPr>
    </w:lvl>
    <w:lvl w:ilvl="8">
      <w:start w:val="1"/>
      <w:numFmt w:val="lowerRoman"/>
      <w:isLgl w:val="false"/>
      <w:suff w:val="tab"/>
      <w:lvlText w:val="%9."/>
      <w:lvlJc w:val="left"/>
      <w:pPr>
        <w:ind w:left="4180" w:hanging="420"/>
        <w:tabs>
          <w:tab w:val="left" w:pos="3780" w:leader="none"/>
        </w:tabs>
      </w:p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1"/>
  </w:num>
  <w:num w:numId="2">
    <w:abstractNumId w:val="18"/>
  </w:num>
  <w:num w:numId="3">
    <w:abstractNumId w:val="13"/>
  </w:num>
  <w:num w:numId="4">
    <w:abstractNumId w:val="22"/>
  </w:num>
  <w:num w:numId="5">
    <w:abstractNumId w:val="3"/>
  </w:num>
  <w:num w:numId="6">
    <w:abstractNumId w:val="6"/>
  </w:num>
  <w:num w:numId="7">
    <w:abstractNumId w:val="4"/>
  </w:num>
  <w:num w:numId="8">
    <w:abstractNumId w:val="9"/>
  </w:num>
  <w:num w:numId="9">
    <w:abstractNumId w:val="14"/>
  </w:num>
  <w:num w:numId="10">
    <w:abstractNumId w:val="8"/>
  </w:num>
  <w:num w:numId="11">
    <w:abstractNumId w:val="7"/>
  </w:num>
  <w:num w:numId="12">
    <w:abstractNumId w:val="2"/>
  </w:num>
  <w:num w:numId="13">
    <w:abstractNumId w:val="16"/>
  </w:num>
  <w:num w:numId="14">
    <w:abstractNumId w:val="19"/>
  </w:num>
  <w:num w:numId="15">
    <w:abstractNumId w:val="12"/>
  </w:num>
  <w:num w:numId="16">
    <w:abstractNumId w:val="23"/>
  </w:num>
  <w:num w:numId="17">
    <w:abstractNumId w:val="20"/>
  </w:num>
  <w:num w:numId="18">
    <w:abstractNumId w:val="0"/>
  </w:num>
  <w:num w:numId="19">
    <w:abstractNumId w:val="21"/>
  </w:num>
  <w:num w:numId="20">
    <w:abstractNumId w:val="10"/>
  </w:num>
  <w:num w:numId="21">
    <w:abstractNumId w:val="1"/>
  </w:num>
  <w:num w:numId="22">
    <w:abstractNumId w:val="15"/>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2">
    <w:name w:val="Heading 1"/>
    <w:basedOn w:val="1225"/>
    <w:next w:val="1225"/>
    <w:link w:val="1053"/>
    <w:uiPriority w:val="9"/>
    <w:qFormat/>
    <w:pPr>
      <w:keepLines/>
      <w:keepNext/>
      <w:spacing w:before="480" w:after="200"/>
      <w:outlineLvl w:val="0"/>
    </w:pPr>
    <w:rPr>
      <w:rFonts w:ascii="Arial" w:hAnsi="Arial" w:eastAsia="Arial" w:cs="Arial"/>
      <w:sz w:val="40"/>
      <w:szCs w:val="40"/>
    </w:rPr>
  </w:style>
  <w:style w:type="character" w:styleId="1053">
    <w:name w:val="Heading 1 Char"/>
    <w:basedOn w:val="1227"/>
    <w:link w:val="1052"/>
    <w:uiPriority w:val="9"/>
    <w:rPr>
      <w:rFonts w:ascii="Arial" w:hAnsi="Arial" w:eastAsia="Arial" w:cs="Arial"/>
      <w:sz w:val="40"/>
      <w:szCs w:val="40"/>
    </w:rPr>
  </w:style>
  <w:style w:type="character" w:styleId="1054">
    <w:name w:val="Heading 2 Char"/>
    <w:basedOn w:val="1227"/>
    <w:link w:val="1255"/>
    <w:uiPriority w:val="9"/>
    <w:rPr>
      <w:rFonts w:ascii="Arial" w:hAnsi="Arial" w:eastAsia="Arial" w:cs="Arial"/>
      <w:sz w:val="34"/>
    </w:rPr>
  </w:style>
  <w:style w:type="paragraph" w:styleId="1055">
    <w:name w:val="Heading 3"/>
    <w:basedOn w:val="1225"/>
    <w:next w:val="1225"/>
    <w:link w:val="1056"/>
    <w:uiPriority w:val="9"/>
    <w:unhideWhenUsed/>
    <w:qFormat/>
    <w:pPr>
      <w:keepLines/>
      <w:keepNext/>
      <w:spacing w:before="320" w:after="200"/>
      <w:outlineLvl w:val="2"/>
    </w:pPr>
    <w:rPr>
      <w:rFonts w:ascii="Arial" w:hAnsi="Arial" w:eastAsia="Arial" w:cs="Arial"/>
      <w:sz w:val="30"/>
      <w:szCs w:val="30"/>
    </w:rPr>
  </w:style>
  <w:style w:type="character" w:styleId="1056">
    <w:name w:val="Heading 3 Char"/>
    <w:basedOn w:val="1227"/>
    <w:link w:val="1055"/>
    <w:uiPriority w:val="9"/>
    <w:rPr>
      <w:rFonts w:ascii="Arial" w:hAnsi="Arial" w:eastAsia="Arial" w:cs="Arial"/>
      <w:sz w:val="30"/>
      <w:szCs w:val="30"/>
    </w:rPr>
  </w:style>
  <w:style w:type="paragraph" w:styleId="1057">
    <w:name w:val="Heading 4"/>
    <w:basedOn w:val="1225"/>
    <w:next w:val="1225"/>
    <w:link w:val="1058"/>
    <w:uiPriority w:val="9"/>
    <w:unhideWhenUsed/>
    <w:qFormat/>
    <w:pPr>
      <w:keepLines/>
      <w:keepNext/>
      <w:spacing w:before="320" w:after="200"/>
      <w:outlineLvl w:val="3"/>
    </w:pPr>
    <w:rPr>
      <w:rFonts w:ascii="Arial" w:hAnsi="Arial" w:eastAsia="Arial" w:cs="Arial"/>
      <w:b/>
      <w:bCs/>
      <w:sz w:val="26"/>
      <w:szCs w:val="26"/>
    </w:rPr>
  </w:style>
  <w:style w:type="character" w:styleId="1058">
    <w:name w:val="Heading 4 Char"/>
    <w:basedOn w:val="1227"/>
    <w:link w:val="1057"/>
    <w:uiPriority w:val="9"/>
    <w:rPr>
      <w:rFonts w:ascii="Arial" w:hAnsi="Arial" w:eastAsia="Arial" w:cs="Arial"/>
      <w:b/>
      <w:bCs/>
      <w:sz w:val="26"/>
      <w:szCs w:val="26"/>
    </w:rPr>
  </w:style>
  <w:style w:type="paragraph" w:styleId="1059">
    <w:name w:val="Heading 5"/>
    <w:basedOn w:val="1225"/>
    <w:next w:val="1225"/>
    <w:link w:val="1060"/>
    <w:uiPriority w:val="9"/>
    <w:unhideWhenUsed/>
    <w:qFormat/>
    <w:pPr>
      <w:keepLines/>
      <w:keepNext/>
      <w:spacing w:before="320" w:after="200"/>
      <w:outlineLvl w:val="4"/>
    </w:pPr>
    <w:rPr>
      <w:rFonts w:ascii="Arial" w:hAnsi="Arial" w:eastAsia="Arial" w:cs="Arial"/>
      <w:b/>
      <w:bCs/>
      <w:sz w:val="24"/>
      <w:szCs w:val="24"/>
    </w:rPr>
  </w:style>
  <w:style w:type="character" w:styleId="1060">
    <w:name w:val="Heading 5 Char"/>
    <w:basedOn w:val="1227"/>
    <w:link w:val="1059"/>
    <w:uiPriority w:val="9"/>
    <w:rPr>
      <w:rFonts w:ascii="Arial" w:hAnsi="Arial" w:eastAsia="Arial" w:cs="Arial"/>
      <w:b/>
      <w:bCs/>
      <w:sz w:val="24"/>
      <w:szCs w:val="24"/>
    </w:rPr>
  </w:style>
  <w:style w:type="paragraph" w:styleId="1061">
    <w:name w:val="Heading 6"/>
    <w:basedOn w:val="1225"/>
    <w:next w:val="1225"/>
    <w:link w:val="1062"/>
    <w:uiPriority w:val="9"/>
    <w:unhideWhenUsed/>
    <w:qFormat/>
    <w:pPr>
      <w:keepLines/>
      <w:keepNext/>
      <w:spacing w:before="320" w:after="200"/>
      <w:outlineLvl w:val="5"/>
    </w:pPr>
    <w:rPr>
      <w:rFonts w:ascii="Arial" w:hAnsi="Arial" w:eastAsia="Arial" w:cs="Arial"/>
      <w:b/>
      <w:bCs/>
      <w:sz w:val="22"/>
      <w:szCs w:val="22"/>
    </w:rPr>
  </w:style>
  <w:style w:type="character" w:styleId="1062">
    <w:name w:val="Heading 6 Char"/>
    <w:basedOn w:val="1227"/>
    <w:link w:val="1061"/>
    <w:uiPriority w:val="9"/>
    <w:rPr>
      <w:rFonts w:ascii="Arial" w:hAnsi="Arial" w:eastAsia="Arial" w:cs="Arial"/>
      <w:b/>
      <w:bCs/>
      <w:sz w:val="22"/>
      <w:szCs w:val="22"/>
    </w:rPr>
  </w:style>
  <w:style w:type="paragraph" w:styleId="1063">
    <w:name w:val="Heading 7"/>
    <w:basedOn w:val="1225"/>
    <w:next w:val="1225"/>
    <w:link w:val="1064"/>
    <w:uiPriority w:val="9"/>
    <w:unhideWhenUsed/>
    <w:qFormat/>
    <w:pPr>
      <w:keepLines/>
      <w:keepNext/>
      <w:spacing w:before="320" w:after="200"/>
      <w:outlineLvl w:val="6"/>
    </w:pPr>
    <w:rPr>
      <w:rFonts w:ascii="Arial" w:hAnsi="Arial" w:eastAsia="Arial" w:cs="Arial"/>
      <w:b/>
      <w:bCs/>
      <w:i/>
      <w:iCs/>
      <w:sz w:val="22"/>
      <w:szCs w:val="22"/>
    </w:rPr>
  </w:style>
  <w:style w:type="character" w:styleId="1064">
    <w:name w:val="Heading 7 Char"/>
    <w:basedOn w:val="1227"/>
    <w:link w:val="1063"/>
    <w:uiPriority w:val="9"/>
    <w:rPr>
      <w:rFonts w:ascii="Arial" w:hAnsi="Arial" w:eastAsia="Arial" w:cs="Arial"/>
      <w:b/>
      <w:bCs/>
      <w:i/>
      <w:iCs/>
      <w:sz w:val="22"/>
      <w:szCs w:val="22"/>
    </w:rPr>
  </w:style>
  <w:style w:type="paragraph" w:styleId="1065">
    <w:name w:val="Heading 8"/>
    <w:basedOn w:val="1225"/>
    <w:next w:val="1225"/>
    <w:link w:val="1066"/>
    <w:uiPriority w:val="9"/>
    <w:unhideWhenUsed/>
    <w:qFormat/>
    <w:pPr>
      <w:keepLines/>
      <w:keepNext/>
      <w:spacing w:before="320" w:after="200"/>
      <w:outlineLvl w:val="7"/>
    </w:pPr>
    <w:rPr>
      <w:rFonts w:ascii="Arial" w:hAnsi="Arial" w:eastAsia="Arial" w:cs="Arial"/>
      <w:i/>
      <w:iCs/>
      <w:sz w:val="22"/>
      <w:szCs w:val="22"/>
    </w:rPr>
  </w:style>
  <w:style w:type="character" w:styleId="1066">
    <w:name w:val="Heading 8 Char"/>
    <w:basedOn w:val="1227"/>
    <w:link w:val="1065"/>
    <w:uiPriority w:val="9"/>
    <w:rPr>
      <w:rFonts w:ascii="Arial" w:hAnsi="Arial" w:eastAsia="Arial" w:cs="Arial"/>
      <w:i/>
      <w:iCs/>
      <w:sz w:val="22"/>
      <w:szCs w:val="22"/>
    </w:rPr>
  </w:style>
  <w:style w:type="paragraph" w:styleId="1067">
    <w:name w:val="Heading 9"/>
    <w:basedOn w:val="1225"/>
    <w:next w:val="1225"/>
    <w:link w:val="1068"/>
    <w:uiPriority w:val="9"/>
    <w:unhideWhenUsed/>
    <w:qFormat/>
    <w:pPr>
      <w:keepLines/>
      <w:keepNext/>
      <w:spacing w:before="320" w:after="200"/>
      <w:outlineLvl w:val="8"/>
    </w:pPr>
    <w:rPr>
      <w:rFonts w:ascii="Arial" w:hAnsi="Arial" w:eastAsia="Arial" w:cs="Arial"/>
      <w:i/>
      <w:iCs/>
      <w:sz w:val="21"/>
      <w:szCs w:val="21"/>
    </w:rPr>
  </w:style>
  <w:style w:type="character" w:styleId="1068">
    <w:name w:val="Heading 9 Char"/>
    <w:basedOn w:val="1227"/>
    <w:link w:val="1067"/>
    <w:uiPriority w:val="9"/>
    <w:rPr>
      <w:rFonts w:ascii="Arial" w:hAnsi="Arial" w:eastAsia="Arial" w:cs="Arial"/>
      <w:i/>
      <w:iCs/>
      <w:sz w:val="21"/>
      <w:szCs w:val="21"/>
    </w:rPr>
  </w:style>
  <w:style w:type="paragraph" w:styleId="1069">
    <w:name w:val="No Spacing"/>
    <w:uiPriority w:val="1"/>
    <w:qFormat/>
    <w:pPr>
      <w:spacing w:before="0" w:after="0" w:line="240" w:lineRule="auto"/>
    </w:pPr>
  </w:style>
  <w:style w:type="paragraph" w:styleId="1070">
    <w:name w:val="Title"/>
    <w:basedOn w:val="1225"/>
    <w:next w:val="1225"/>
    <w:link w:val="1071"/>
    <w:uiPriority w:val="10"/>
    <w:qFormat/>
    <w:pPr>
      <w:contextualSpacing/>
      <w:spacing w:before="300" w:after="200"/>
    </w:pPr>
    <w:rPr>
      <w:sz w:val="48"/>
      <w:szCs w:val="48"/>
    </w:rPr>
  </w:style>
  <w:style w:type="character" w:styleId="1071">
    <w:name w:val="Title Char"/>
    <w:basedOn w:val="1227"/>
    <w:link w:val="1070"/>
    <w:uiPriority w:val="10"/>
    <w:rPr>
      <w:sz w:val="48"/>
      <w:szCs w:val="48"/>
    </w:rPr>
  </w:style>
  <w:style w:type="paragraph" w:styleId="1072">
    <w:name w:val="Subtitle"/>
    <w:basedOn w:val="1225"/>
    <w:next w:val="1225"/>
    <w:link w:val="1073"/>
    <w:uiPriority w:val="11"/>
    <w:qFormat/>
    <w:pPr>
      <w:spacing w:before="200" w:after="200"/>
    </w:pPr>
    <w:rPr>
      <w:sz w:val="24"/>
      <w:szCs w:val="24"/>
    </w:rPr>
  </w:style>
  <w:style w:type="character" w:styleId="1073">
    <w:name w:val="Subtitle Char"/>
    <w:basedOn w:val="1227"/>
    <w:link w:val="1072"/>
    <w:uiPriority w:val="11"/>
    <w:rPr>
      <w:sz w:val="24"/>
      <w:szCs w:val="24"/>
    </w:rPr>
  </w:style>
  <w:style w:type="paragraph" w:styleId="1074">
    <w:name w:val="Quote"/>
    <w:basedOn w:val="1225"/>
    <w:next w:val="1225"/>
    <w:link w:val="1075"/>
    <w:uiPriority w:val="29"/>
    <w:qFormat/>
    <w:pPr>
      <w:ind w:left="720" w:right="720"/>
    </w:pPr>
    <w:rPr>
      <w:i/>
    </w:rPr>
  </w:style>
  <w:style w:type="character" w:styleId="1075">
    <w:name w:val="Quote Char"/>
    <w:link w:val="1074"/>
    <w:uiPriority w:val="29"/>
    <w:rPr>
      <w:i/>
    </w:rPr>
  </w:style>
  <w:style w:type="paragraph" w:styleId="1076">
    <w:name w:val="Intense Quote"/>
    <w:basedOn w:val="1225"/>
    <w:next w:val="1225"/>
    <w:link w:val="10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7">
    <w:name w:val="Intense Quote Char"/>
    <w:link w:val="1076"/>
    <w:uiPriority w:val="30"/>
    <w:rPr>
      <w:i/>
    </w:rPr>
  </w:style>
  <w:style w:type="character" w:styleId="1078">
    <w:name w:val="Header Char"/>
    <w:basedOn w:val="1227"/>
    <w:link w:val="1239"/>
    <w:uiPriority w:val="99"/>
  </w:style>
  <w:style w:type="character" w:styleId="1079">
    <w:name w:val="Footer Char"/>
    <w:basedOn w:val="1227"/>
    <w:link w:val="1238"/>
    <w:uiPriority w:val="99"/>
  </w:style>
  <w:style w:type="paragraph" w:styleId="1080">
    <w:name w:val="Caption"/>
    <w:basedOn w:val="1225"/>
    <w:next w:val="1225"/>
    <w:uiPriority w:val="35"/>
    <w:semiHidden/>
    <w:unhideWhenUsed/>
    <w:qFormat/>
    <w:pPr>
      <w:spacing w:line="276" w:lineRule="auto"/>
    </w:pPr>
    <w:rPr>
      <w:b/>
      <w:bCs/>
      <w:color w:val="4f81bd" w:themeColor="accent1"/>
      <w:sz w:val="18"/>
      <w:szCs w:val="18"/>
    </w:rPr>
  </w:style>
  <w:style w:type="character" w:styleId="1081">
    <w:name w:val="Caption Char"/>
    <w:basedOn w:val="1080"/>
    <w:link w:val="1238"/>
    <w:uiPriority w:val="99"/>
  </w:style>
  <w:style w:type="table" w:styleId="1082">
    <w:name w:val="Table Grid Light"/>
    <w:basedOn w:val="12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3">
    <w:name w:val="Plain Table 1"/>
    <w:basedOn w:val="12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name w:val="Plain Table 2"/>
    <w:basedOn w:val="12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name w:val="Plain Table 3"/>
    <w:basedOn w:val="12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name w:val="Plain Table 4"/>
    <w:basedOn w:val="12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name w:val="Plain Table 5"/>
    <w:basedOn w:val="12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8">
    <w:name w:val="Grid Table 1 Light"/>
    <w:basedOn w:val="12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9">
    <w:name w:val="Grid Table 1 Light - Accent 1"/>
    <w:basedOn w:val="12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0">
    <w:name w:val="Grid Table 1 Light - Accent 2"/>
    <w:basedOn w:val="12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1">
    <w:name w:val="Grid Table 1 Light - Accent 3"/>
    <w:basedOn w:val="12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2">
    <w:name w:val="Grid Table 1 Light - Accent 4"/>
    <w:basedOn w:val="12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3">
    <w:name w:val="Grid Table 1 Light - Accent 5"/>
    <w:basedOn w:val="12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4">
    <w:name w:val="Grid Table 1 Light - Accent 6"/>
    <w:basedOn w:val="12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5">
    <w:name w:val="Grid Table 2"/>
    <w:basedOn w:val="12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6">
    <w:name w:val="Grid Table 2 - Accent 1"/>
    <w:basedOn w:val="12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7">
    <w:name w:val="Grid Table 2 - Accent 2"/>
    <w:basedOn w:val="12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8">
    <w:name w:val="Grid Table 2 - Accent 3"/>
    <w:basedOn w:val="12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9">
    <w:name w:val="Grid Table 2 - Accent 4"/>
    <w:basedOn w:val="12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0">
    <w:name w:val="Grid Table 2 - Accent 5"/>
    <w:basedOn w:val="12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1">
    <w:name w:val="Grid Table 2 - Accent 6"/>
    <w:basedOn w:val="12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2">
    <w:name w:val="Grid Table 3"/>
    <w:basedOn w:val="12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1"/>
    <w:basedOn w:val="12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2"/>
    <w:basedOn w:val="12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3"/>
    <w:basedOn w:val="12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4"/>
    <w:basedOn w:val="12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5"/>
    <w:basedOn w:val="12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6"/>
    <w:basedOn w:val="12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4"/>
    <w:basedOn w:val="12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name w:val="Grid Table 4 - Accent 1"/>
    <w:basedOn w:val="12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1">
    <w:name w:val="Grid Table 4 - Accent 2"/>
    <w:basedOn w:val="12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2">
    <w:name w:val="Grid Table 4 - Accent 3"/>
    <w:basedOn w:val="12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3">
    <w:name w:val="Grid Table 4 - Accent 4"/>
    <w:basedOn w:val="12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4">
    <w:name w:val="Grid Table 4 - Accent 5"/>
    <w:basedOn w:val="12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5">
    <w:name w:val="Grid Table 4 - Accent 6"/>
    <w:basedOn w:val="12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6">
    <w:name w:val="Grid Table 5 Dark"/>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7">
    <w:name w:val="Grid Table 5 Dark- Accent 1"/>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18">
    <w:name w:val="Grid Table 5 Dark - Accent 2"/>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19">
    <w:name w:val="Grid Table 5 Dark - Accent 3"/>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20">
    <w:name w:val="Grid Table 5 Dark- Accent 4"/>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21">
    <w:name w:val="Grid Table 5 Dark - Accent 5"/>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22">
    <w:name w:val="Grid Table 5 Dark - Accent 6"/>
    <w:basedOn w:val="12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23">
    <w:name w:val="Grid Table 6 Colorful"/>
    <w:basedOn w:val="12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4">
    <w:name w:val="Grid Table 6 Colorful - Accent 1"/>
    <w:basedOn w:val="12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25">
    <w:name w:val="Grid Table 6 Colorful - Accent 2"/>
    <w:basedOn w:val="12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26">
    <w:name w:val="Grid Table 6 Colorful - Accent 3"/>
    <w:basedOn w:val="12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27">
    <w:name w:val="Grid Table 6 Colorful - Accent 4"/>
    <w:basedOn w:val="12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28">
    <w:name w:val="Grid Table 6 Colorful - Accent 5"/>
    <w:basedOn w:val="12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29">
    <w:name w:val="Grid Table 6 Colorful - Accent 6"/>
    <w:basedOn w:val="12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30">
    <w:name w:val="Grid Table 7 Colorful"/>
    <w:basedOn w:val="12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1">
    <w:name w:val="Grid Table 7 Colorful - Accent 1"/>
    <w:basedOn w:val="12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2">
    <w:name w:val="Grid Table 7 Colorful - Accent 2"/>
    <w:basedOn w:val="12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3">
    <w:name w:val="Grid Table 7 Colorful - Accent 3"/>
    <w:basedOn w:val="12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4">
    <w:name w:val="Grid Table 7 Colorful - Accent 4"/>
    <w:basedOn w:val="12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5">
    <w:name w:val="Grid Table 7 Colorful - Accent 5"/>
    <w:basedOn w:val="12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6">
    <w:name w:val="Grid Table 7 Colorful - Accent 6"/>
    <w:basedOn w:val="12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7">
    <w:name w:val="List Table 1 Light"/>
    <w:basedOn w:val="12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name w:val="List Table 1 Light - Accent 1"/>
    <w:basedOn w:val="122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9">
    <w:name w:val="List Table 1 Light - Accent 2"/>
    <w:basedOn w:val="122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0">
    <w:name w:val="List Table 1 Light - Accent 3"/>
    <w:basedOn w:val="122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1">
    <w:name w:val="List Table 1 Light - Accent 4"/>
    <w:basedOn w:val="122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2">
    <w:name w:val="List Table 1 Light - Accent 5"/>
    <w:basedOn w:val="122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3">
    <w:name w:val="List Table 1 Light - Accent 6"/>
    <w:basedOn w:val="122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4">
    <w:name w:val="List Table 2"/>
    <w:basedOn w:val="12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5">
    <w:name w:val="List Table 2 - Accent 1"/>
    <w:basedOn w:val="12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6">
    <w:name w:val="List Table 2 - Accent 2"/>
    <w:basedOn w:val="12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7">
    <w:name w:val="List Table 2 - Accent 3"/>
    <w:basedOn w:val="12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8">
    <w:name w:val="List Table 2 - Accent 4"/>
    <w:basedOn w:val="12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9">
    <w:name w:val="List Table 2 - Accent 5"/>
    <w:basedOn w:val="12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0">
    <w:name w:val="List Table 2 - Accent 6"/>
    <w:basedOn w:val="12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1">
    <w:name w:val="List Table 3"/>
    <w:basedOn w:val="12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2">
    <w:name w:val="List Table 3 - Accent 1"/>
    <w:basedOn w:val="12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53">
    <w:name w:val="List Table 3 - Accent 2"/>
    <w:basedOn w:val="12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54">
    <w:name w:val="List Table 3 - Accent 3"/>
    <w:basedOn w:val="12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55">
    <w:name w:val="List Table 3 - Accent 4"/>
    <w:basedOn w:val="12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56">
    <w:name w:val="List Table 3 - Accent 5"/>
    <w:basedOn w:val="12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57">
    <w:name w:val="List Table 3 - Accent 6"/>
    <w:basedOn w:val="12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58">
    <w:name w:val="List Table 4"/>
    <w:basedOn w:val="12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9">
    <w:name w:val="List Table 4 - Accent 1"/>
    <w:basedOn w:val="12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60">
    <w:name w:val="List Table 4 - Accent 2"/>
    <w:basedOn w:val="12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61">
    <w:name w:val="List Table 4 - Accent 3"/>
    <w:basedOn w:val="12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62">
    <w:name w:val="List Table 4 - Accent 4"/>
    <w:basedOn w:val="12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63">
    <w:name w:val="List Table 4 - Accent 5"/>
    <w:basedOn w:val="12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64">
    <w:name w:val="List Table 4 - Accent 6"/>
    <w:basedOn w:val="12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65">
    <w:name w:val="List Table 5 Dark"/>
    <w:basedOn w:val="12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1"/>
    <w:basedOn w:val="12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2"/>
    <w:basedOn w:val="12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3"/>
    <w:basedOn w:val="12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4"/>
    <w:basedOn w:val="12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5"/>
    <w:basedOn w:val="12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6"/>
    <w:basedOn w:val="12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6 Colorful"/>
    <w:basedOn w:val="12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3">
    <w:name w:val="List Table 6 Colorful - Accent 1"/>
    <w:basedOn w:val="12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74">
    <w:name w:val="List Table 6 Colorful - Accent 2"/>
    <w:basedOn w:val="12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75">
    <w:name w:val="List Table 6 Colorful - Accent 3"/>
    <w:basedOn w:val="12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76">
    <w:name w:val="List Table 6 Colorful - Accent 4"/>
    <w:basedOn w:val="12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77">
    <w:name w:val="List Table 6 Colorful - Accent 5"/>
    <w:basedOn w:val="12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78">
    <w:name w:val="List Table 6 Colorful - Accent 6"/>
    <w:basedOn w:val="12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79">
    <w:name w:val="List Table 7 Colorful"/>
    <w:basedOn w:val="12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0">
    <w:name w:val="List Table 7 Colorful - Accent 1"/>
    <w:basedOn w:val="12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81">
    <w:name w:val="List Table 7 Colorful - Accent 2"/>
    <w:basedOn w:val="12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82">
    <w:name w:val="List Table 7 Colorful - Accent 3"/>
    <w:basedOn w:val="12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83">
    <w:name w:val="List Table 7 Colorful - Accent 4"/>
    <w:basedOn w:val="12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84">
    <w:name w:val="List Table 7 Colorful - Accent 5"/>
    <w:basedOn w:val="12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85">
    <w:name w:val="List Table 7 Colorful - Accent 6"/>
    <w:basedOn w:val="12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86">
    <w:name w:val="Lined - Accent"/>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7">
    <w:name w:val="Lined - Accent 1"/>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88">
    <w:name w:val="Lined - Accent 2"/>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89">
    <w:name w:val="Lined - Accent 3"/>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90">
    <w:name w:val="Lined - Accent 4"/>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91">
    <w:name w:val="Lined - Accent 5"/>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92">
    <w:name w:val="Lined - Accent 6"/>
    <w:basedOn w:val="12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93">
    <w:name w:val="Bordered &amp; Lined - Accent"/>
    <w:basedOn w:val="12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4">
    <w:name w:val="Bordered &amp; Lined - Accent 1"/>
    <w:basedOn w:val="12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95">
    <w:name w:val="Bordered &amp; Lined - Accent 2"/>
    <w:basedOn w:val="12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96">
    <w:name w:val="Bordered &amp; Lined - Accent 3"/>
    <w:basedOn w:val="12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97">
    <w:name w:val="Bordered &amp; Lined - Accent 4"/>
    <w:basedOn w:val="12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98">
    <w:name w:val="Bordered &amp; Lined - Accent 5"/>
    <w:basedOn w:val="12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99">
    <w:name w:val="Bordered &amp; Lined - Accent 6"/>
    <w:basedOn w:val="12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00">
    <w:name w:val="Bordered"/>
    <w:basedOn w:val="12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1">
    <w:name w:val="Bordered - Accent 1"/>
    <w:basedOn w:val="12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2">
    <w:name w:val="Bordered - Accent 2"/>
    <w:basedOn w:val="12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3">
    <w:name w:val="Bordered - Accent 3"/>
    <w:basedOn w:val="12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4">
    <w:name w:val="Bordered - Accent 4"/>
    <w:basedOn w:val="12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5">
    <w:name w:val="Bordered - Accent 5"/>
    <w:basedOn w:val="12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6">
    <w:name w:val="Bordered - Accent 6"/>
    <w:basedOn w:val="12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7">
    <w:name w:val="Hyperlink"/>
    <w:uiPriority w:val="99"/>
    <w:unhideWhenUsed/>
    <w:rPr>
      <w:color w:val="0000ff" w:themeColor="hyperlink"/>
      <w:u w:val="single"/>
    </w:rPr>
  </w:style>
  <w:style w:type="paragraph" w:styleId="1208">
    <w:name w:val="footnote text"/>
    <w:basedOn w:val="1225"/>
    <w:link w:val="1209"/>
    <w:uiPriority w:val="99"/>
    <w:semiHidden/>
    <w:unhideWhenUsed/>
    <w:pPr>
      <w:spacing w:after="40" w:line="240" w:lineRule="auto"/>
    </w:pPr>
    <w:rPr>
      <w:sz w:val="18"/>
    </w:rPr>
  </w:style>
  <w:style w:type="character" w:styleId="1209">
    <w:name w:val="Footnote Text Char"/>
    <w:link w:val="1208"/>
    <w:uiPriority w:val="99"/>
    <w:rPr>
      <w:sz w:val="18"/>
    </w:rPr>
  </w:style>
  <w:style w:type="character" w:styleId="1210">
    <w:name w:val="footnote reference"/>
    <w:basedOn w:val="1227"/>
    <w:uiPriority w:val="99"/>
    <w:unhideWhenUsed/>
    <w:rPr>
      <w:vertAlign w:val="superscript"/>
    </w:rPr>
  </w:style>
  <w:style w:type="paragraph" w:styleId="1211">
    <w:name w:val="endnote text"/>
    <w:basedOn w:val="1225"/>
    <w:link w:val="1212"/>
    <w:uiPriority w:val="99"/>
    <w:semiHidden/>
    <w:unhideWhenUsed/>
    <w:pPr>
      <w:spacing w:after="0" w:line="240" w:lineRule="auto"/>
    </w:pPr>
    <w:rPr>
      <w:sz w:val="20"/>
    </w:rPr>
  </w:style>
  <w:style w:type="character" w:styleId="1212">
    <w:name w:val="Endnote Text Char"/>
    <w:link w:val="1211"/>
    <w:uiPriority w:val="99"/>
    <w:rPr>
      <w:sz w:val="20"/>
    </w:rPr>
  </w:style>
  <w:style w:type="character" w:styleId="1213">
    <w:name w:val="endnote reference"/>
    <w:basedOn w:val="1227"/>
    <w:uiPriority w:val="99"/>
    <w:semiHidden/>
    <w:unhideWhenUsed/>
    <w:rPr>
      <w:vertAlign w:val="superscript"/>
    </w:rPr>
  </w:style>
  <w:style w:type="paragraph" w:styleId="1214">
    <w:name w:val="toc 1"/>
    <w:basedOn w:val="1225"/>
    <w:next w:val="1225"/>
    <w:uiPriority w:val="39"/>
    <w:unhideWhenUsed/>
    <w:pPr>
      <w:ind w:left="0" w:right="0" w:firstLine="0"/>
      <w:spacing w:after="57"/>
    </w:pPr>
  </w:style>
  <w:style w:type="paragraph" w:styleId="1215">
    <w:name w:val="toc 2"/>
    <w:basedOn w:val="1225"/>
    <w:next w:val="1225"/>
    <w:uiPriority w:val="39"/>
    <w:unhideWhenUsed/>
    <w:pPr>
      <w:ind w:left="283" w:right="0" w:firstLine="0"/>
      <w:spacing w:after="57"/>
    </w:pPr>
  </w:style>
  <w:style w:type="paragraph" w:styleId="1216">
    <w:name w:val="toc 3"/>
    <w:basedOn w:val="1225"/>
    <w:next w:val="1225"/>
    <w:uiPriority w:val="39"/>
    <w:unhideWhenUsed/>
    <w:pPr>
      <w:ind w:left="567" w:right="0" w:firstLine="0"/>
      <w:spacing w:after="57"/>
    </w:pPr>
  </w:style>
  <w:style w:type="paragraph" w:styleId="1217">
    <w:name w:val="toc 4"/>
    <w:basedOn w:val="1225"/>
    <w:next w:val="1225"/>
    <w:uiPriority w:val="39"/>
    <w:unhideWhenUsed/>
    <w:pPr>
      <w:ind w:left="850" w:right="0" w:firstLine="0"/>
      <w:spacing w:after="57"/>
    </w:pPr>
  </w:style>
  <w:style w:type="paragraph" w:styleId="1218">
    <w:name w:val="toc 5"/>
    <w:basedOn w:val="1225"/>
    <w:next w:val="1225"/>
    <w:uiPriority w:val="39"/>
    <w:unhideWhenUsed/>
    <w:pPr>
      <w:ind w:left="1134" w:right="0" w:firstLine="0"/>
      <w:spacing w:after="57"/>
    </w:pPr>
  </w:style>
  <w:style w:type="paragraph" w:styleId="1219">
    <w:name w:val="toc 6"/>
    <w:basedOn w:val="1225"/>
    <w:next w:val="1225"/>
    <w:uiPriority w:val="39"/>
    <w:unhideWhenUsed/>
    <w:pPr>
      <w:ind w:left="1417" w:right="0" w:firstLine="0"/>
      <w:spacing w:after="57"/>
    </w:pPr>
  </w:style>
  <w:style w:type="paragraph" w:styleId="1220">
    <w:name w:val="toc 7"/>
    <w:basedOn w:val="1225"/>
    <w:next w:val="1225"/>
    <w:uiPriority w:val="39"/>
    <w:unhideWhenUsed/>
    <w:pPr>
      <w:ind w:left="1701" w:right="0" w:firstLine="0"/>
      <w:spacing w:after="57"/>
    </w:pPr>
  </w:style>
  <w:style w:type="paragraph" w:styleId="1221">
    <w:name w:val="toc 8"/>
    <w:basedOn w:val="1225"/>
    <w:next w:val="1225"/>
    <w:uiPriority w:val="39"/>
    <w:unhideWhenUsed/>
    <w:pPr>
      <w:ind w:left="1984" w:right="0" w:firstLine="0"/>
      <w:spacing w:after="57"/>
    </w:pPr>
  </w:style>
  <w:style w:type="paragraph" w:styleId="1222">
    <w:name w:val="toc 9"/>
    <w:basedOn w:val="1225"/>
    <w:next w:val="1225"/>
    <w:uiPriority w:val="39"/>
    <w:unhideWhenUsed/>
    <w:pPr>
      <w:ind w:left="2268" w:right="0" w:firstLine="0"/>
      <w:spacing w:after="57"/>
    </w:pPr>
  </w:style>
  <w:style w:type="paragraph" w:styleId="1223">
    <w:name w:val="TOC Heading"/>
    <w:uiPriority w:val="39"/>
    <w:unhideWhenUsed/>
  </w:style>
  <w:style w:type="paragraph" w:styleId="1224">
    <w:name w:val="table of figures"/>
    <w:basedOn w:val="1225"/>
    <w:next w:val="1225"/>
    <w:uiPriority w:val="99"/>
    <w:unhideWhenUsed/>
    <w:pPr>
      <w:spacing w:after="0" w:afterAutospacing="0"/>
    </w:pPr>
  </w:style>
  <w:style w:type="paragraph" w:styleId="1225" w:default="1">
    <w:name w:val="Normal"/>
    <w:next w:val="1229"/>
    <w:link w:val="1258"/>
    <w:uiPriority w:val="0"/>
    <w:qFormat/>
    <w:pPr>
      <w:jc w:val="both"/>
      <w:widowControl w:val="off"/>
    </w:pPr>
    <w:rPr>
      <w:rFonts w:hint="default" w:ascii="等线" w:hAnsi="等线" w:eastAsia="等线" w:cs="Times New Roman"/>
      <w:sz w:val="21"/>
      <w:szCs w:val="22"/>
      <w:lang w:val="en-US" w:eastAsia="zh-CN" w:bidi="ar-SA"/>
    </w:rPr>
  </w:style>
  <w:style w:type="paragraph" w:styleId="1226">
    <w:name w:val="Heading 2"/>
    <w:basedOn w:val="1225"/>
    <w:next w:val="1225"/>
    <w:uiPriority w:val="9"/>
    <w:unhideWhenUsed/>
    <w:qFormat/>
    <w:pPr>
      <w:keepLines/>
      <w:keepNext/>
      <w:spacing w:before="360" w:after="200"/>
      <w:outlineLvl w:val="1"/>
    </w:pPr>
    <w:rPr>
      <w:rFonts w:ascii="Arial" w:hAnsi="Arial" w:eastAsia="Arial" w:cs="Arial"/>
      <w:sz w:val="34"/>
    </w:rPr>
  </w:style>
  <w:style w:type="character" w:styleId="1227" w:default="1">
    <w:name w:val="Default Paragraph Font"/>
    <w:uiPriority w:val="0"/>
    <w:semiHidden/>
    <w:qFormat/>
  </w:style>
  <w:style w:type="table" w:styleId="1228" w:default="1">
    <w:name w:val="Normal Table"/>
    <w:uiPriority w:val="0"/>
    <w:semiHidden/>
    <w:qFormat/>
    <w:tblPr>
      <w:tblCellMar>
        <w:left w:w="108" w:type="dxa"/>
        <w:top w:w="0" w:type="dxa"/>
        <w:right w:w="108" w:type="dxa"/>
        <w:bottom w:w="0" w:type="dxa"/>
      </w:tblCellMar>
    </w:tblPr>
  </w:style>
  <w:style w:type="paragraph" w:styleId="1229" w:customStyle="1">
    <w:name w:val="索引 41"/>
    <w:basedOn w:val="1225"/>
    <w:next w:val="1225"/>
    <w:uiPriority w:val="99"/>
    <w:qFormat/>
    <w:pPr>
      <w:ind w:left="600"/>
    </w:pPr>
    <w:rPr>
      <w:rFonts w:ascii="Times New Roman" w:hAnsi="Times New Roman" w:eastAsia="宋体"/>
      <w:szCs w:val="24"/>
    </w:rPr>
  </w:style>
  <w:style w:type="paragraph" w:styleId="1230">
    <w:name w:val="Document Map"/>
    <w:basedOn w:val="1225"/>
    <w:uiPriority w:val="0"/>
    <w:qFormat/>
    <w:pPr>
      <w:shd w:val="clear" w:color="auto" w:fill="000080"/>
    </w:pPr>
    <w:rPr>
      <w:rFonts w:asciiTheme="minorHAnsi" w:hAnsiTheme="minorHAnsi" w:eastAsiaTheme="minorEastAsia" w:cstheme="minorBidi"/>
      <w:szCs w:val="24"/>
      <w:shd w:val="clear" w:color="auto" w:fill="000080"/>
    </w:rPr>
  </w:style>
  <w:style w:type="paragraph" w:styleId="1231">
    <w:name w:val="Body Text"/>
    <w:basedOn w:val="1225"/>
    <w:next w:val="1232"/>
    <w:uiPriority w:val="0"/>
    <w:semiHidden/>
    <w:qFormat/>
    <w:rPr>
      <w:rFonts w:ascii="宋体" w:hAnsi="宋体" w:eastAsia="宋体" w:cs="宋体"/>
      <w:sz w:val="24"/>
      <w:szCs w:val="24"/>
      <w:lang w:eastAsia="en-US"/>
    </w:rPr>
  </w:style>
  <w:style w:type="paragraph" w:styleId="1232" w:customStyle="1">
    <w:name w:val="样式 表格正文 + 两端对齐"/>
    <w:basedOn w:val="1225"/>
    <w:next w:val="1233"/>
    <w:uiPriority w:val="99"/>
    <w:qFormat/>
    <w:pPr>
      <w:spacing w:line="300" w:lineRule="auto"/>
    </w:pPr>
  </w:style>
  <w:style w:type="paragraph" w:styleId="1233" w:customStyle="1">
    <w:name w:val="正文1"/>
    <w:basedOn w:val="1230"/>
    <w:next w:val="1225"/>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4">
    <w:name w:val="Body Text Indent"/>
    <w:basedOn w:val="1225"/>
    <w:next w:val="1235"/>
    <w:uiPriority w:val="0"/>
    <w:qFormat/>
    <w:pPr>
      <w:ind w:left="420"/>
      <w:spacing w:after="120"/>
    </w:pPr>
  </w:style>
  <w:style w:type="paragraph" w:styleId="1235">
    <w:name w:val="envelope return"/>
    <w:basedOn w:val="1225"/>
    <w:uiPriority w:val="0"/>
    <w:qFormat/>
    <w:rPr>
      <w:rFonts w:ascii="Arial" w:hAnsi="Arial"/>
    </w:rPr>
  </w:style>
  <w:style w:type="paragraph" w:styleId="1236">
    <w:name w:val="index 4"/>
    <w:basedOn w:val="1225"/>
    <w:next w:val="1225"/>
    <w:uiPriority w:val="99"/>
    <w:qFormat/>
    <w:pPr>
      <w:ind w:left="600"/>
    </w:pPr>
    <w:rPr>
      <w:szCs w:val="24"/>
    </w:rPr>
  </w:style>
  <w:style w:type="paragraph" w:styleId="1237">
    <w:name w:val="Plain Text"/>
    <w:basedOn w:val="1225"/>
    <w:uiPriority w:val="0"/>
    <w:qFormat/>
    <w:rPr>
      <w:rFonts w:ascii="宋体" w:hAnsi="Courier New" w:cs="Courier New"/>
      <w:szCs w:val="21"/>
    </w:rPr>
  </w:style>
  <w:style w:type="paragraph" w:styleId="1238">
    <w:name w:val="Footer"/>
    <w:basedOn w:val="1225"/>
    <w:next w:val="1225"/>
    <w:uiPriority w:val="99"/>
    <w:unhideWhenUsed/>
    <w:qFormat/>
    <w:pPr>
      <w:tabs>
        <w:tab w:val="center" w:pos="7143" w:leader="none"/>
        <w:tab w:val="right" w:pos="14287" w:leader="none"/>
      </w:tabs>
    </w:pPr>
  </w:style>
  <w:style w:type="paragraph" w:styleId="1239">
    <w:name w:val="Header"/>
    <w:basedOn w:val="1225"/>
    <w:uiPriority w:val="99"/>
    <w:unhideWhenUsed/>
    <w:qFormat/>
    <w:pPr>
      <w:tabs>
        <w:tab w:val="center" w:pos="7143" w:leader="none"/>
        <w:tab w:val="right" w:pos="14287" w:leader="none"/>
      </w:tabs>
    </w:pPr>
  </w:style>
  <w:style w:type="table" w:styleId="12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1">
    <w:name w:val="annotation reference"/>
    <w:basedOn w:val="1227"/>
    <w:uiPriority w:val="99"/>
    <w:semiHidden/>
    <w:unhideWhenUsed/>
    <w:qFormat/>
    <w:rPr>
      <w:sz w:val="21"/>
      <w:szCs w:val="21"/>
    </w:rPr>
  </w:style>
  <w:style w:type="paragraph" w:styleId="1242" w:customStyle="1">
    <w:name w:val="正文文本1"/>
    <w:basedOn w:val="1225"/>
    <w:next w:val="1243"/>
    <w:uiPriority w:val="0"/>
    <w:qFormat/>
    <w:rPr>
      <w:rFonts w:ascii="华文中宋" w:hAnsi="Times New Roman" w:eastAsia="华文中宋"/>
      <w:bCs/>
      <w:sz w:val="28"/>
      <w:szCs w:val="20"/>
    </w:rPr>
  </w:style>
  <w:style w:type="paragraph" w:styleId="1243" w:customStyle="1">
    <w:name w:val="正文首行缩进1"/>
    <w:basedOn w:val="1242"/>
    <w:link w:val="1248"/>
    <w:uiPriority w:val="99"/>
    <w:unhideWhenUsed/>
    <w:qFormat/>
    <w:pPr>
      <w:ind w:firstLine="420"/>
      <w:spacing w:after="120"/>
    </w:pPr>
    <w:rPr>
      <w:rFonts w:ascii="等线" w:hAnsi="等线" w:eastAsia="等线"/>
      <w:bCs w:val="0"/>
      <w:sz w:val="21"/>
      <w:szCs w:val="22"/>
    </w:rPr>
  </w:style>
  <w:style w:type="paragraph" w:styleId="1244" w:customStyle="1">
    <w:name w:val="纯文本1"/>
    <w:basedOn w:val="1225"/>
    <w:next w:val="1245"/>
    <w:uiPriority w:val="0"/>
    <w:qFormat/>
    <w:rPr>
      <w:rFonts w:ascii="宋体" w:hAnsi="Courier New" w:eastAsia="宋体"/>
      <w:szCs w:val="20"/>
    </w:rPr>
  </w:style>
  <w:style w:type="paragraph" w:styleId="1245" w:customStyle="1">
    <w:name w:val="目录 21"/>
    <w:basedOn w:val="1225"/>
    <w:next w:val="1225"/>
    <w:uiPriority w:val="39"/>
    <w:unhideWhenUsed/>
    <w:qFormat/>
    <w:pPr>
      <w:ind w:left="420"/>
    </w:pPr>
  </w:style>
  <w:style w:type="character" w:styleId="1246" w:customStyle="1">
    <w:name w:val="已访问的超链接1"/>
    <w:uiPriority w:val="99"/>
    <w:qFormat/>
    <w:rPr>
      <w:color w:val="000000"/>
      <w:u w:val="none"/>
    </w:rPr>
  </w:style>
  <w:style w:type="paragraph" w:styleId="1247" w:customStyle="1">
    <w:name w:val="目录 11"/>
    <w:basedOn w:val="1225"/>
    <w:next w:val="1225"/>
    <w:uiPriority w:val="39"/>
    <w:qFormat/>
    <w:pPr>
      <w:jc w:val="center"/>
      <w:spacing w:before="120" w:after="120"/>
      <w:tabs>
        <w:tab w:val="right" w:pos="9170" w:leader="dot"/>
      </w:tabs>
    </w:pPr>
    <w:rPr>
      <w:rFonts w:eastAsia="文鼎小标宋简"/>
      <w:caps/>
      <w:sz w:val="32"/>
      <w:szCs w:val="32"/>
    </w:rPr>
  </w:style>
  <w:style w:type="character" w:styleId="1248" w:customStyle="1">
    <w:name w:val="正文首行缩进 Char"/>
    <w:link w:val="1243"/>
    <w:uiPriority w:val="99"/>
    <w:semiHidden/>
    <w:qFormat/>
    <w:rPr>
      <w:rFonts w:ascii="等线" w:hAnsi="等线" w:eastAsia="等线"/>
      <w:sz w:val="21"/>
      <w:szCs w:val="22"/>
    </w:rPr>
  </w:style>
  <w:style w:type="paragraph" w:styleId="1249" w:customStyle="1">
    <w:name w:val="列出段落1"/>
    <w:basedOn w:val="1225"/>
    <w:uiPriority w:val="0"/>
    <w:qFormat/>
    <w:pPr>
      <w:ind w:firstLine="420"/>
    </w:pPr>
    <w:rPr>
      <w:rFonts w:ascii="Calibri" w:hAnsi="Calibri" w:eastAsia="宋体"/>
    </w:rPr>
  </w:style>
  <w:style w:type="paragraph" w:styleId="1250" w:customStyle="1">
    <w:name w:val="标题 11"/>
    <w:basedOn w:val="1225"/>
    <w:next w:val="122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51" w:customStyle="1">
    <w:name w:val="TOC Heading1"/>
    <w:next w:val="1225"/>
    <w:uiPriority w:val="0"/>
    <w:qFormat/>
    <w:rPr>
      <w:rFonts w:hint="default" w:ascii="Times New Roman" w:hAnsi="Times New Roman" w:eastAsia="宋体" w:cs="Times New Roman"/>
      <w:sz w:val="32"/>
      <w:lang w:val="en-US" w:eastAsia="zh-CN" w:bidi="ar-SA"/>
    </w:rPr>
  </w:style>
  <w:style w:type="paragraph" w:styleId="1252" w:customStyle="1">
    <w:name w:val="标题 41"/>
    <w:basedOn w:val="1225"/>
    <w:next w:val="1253"/>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53" w:customStyle="1">
    <w:name w:val="正文缩进1"/>
    <w:basedOn w:val="1225"/>
    <w:next w:val="1225"/>
    <w:uiPriority w:val="0"/>
    <w:qFormat/>
    <w:pPr>
      <w:ind w:firstLine="420"/>
    </w:pPr>
    <w:rPr>
      <w:rFonts w:ascii="Times New Roman" w:hAnsi="Times New Roman" w:eastAsia="宋体"/>
      <w:szCs w:val="20"/>
    </w:rPr>
  </w:style>
  <w:style w:type="character" w:styleId="1254" w:customStyle="1">
    <w:name w:val="NormalCharacter"/>
    <w:uiPriority w:val="0"/>
    <w:qFormat/>
  </w:style>
  <w:style w:type="paragraph" w:styleId="1255" w:customStyle="1">
    <w:name w:val="Heading 2"/>
    <w:next w:val="1225"/>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2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7" w:customStyle="1">
    <w:name w:val="普通正文"/>
    <w:basedOn w:val="1225"/>
    <w:uiPriority w:val="0"/>
    <w:qFormat/>
    <w:pPr>
      <w:ind w:firstLine="480"/>
      <w:jc w:val="left"/>
      <w:spacing w:before="120" w:after="120" w:line="360" w:lineRule="auto"/>
    </w:pPr>
    <w:rPr>
      <w:rFonts w:ascii="Arial" w:hAnsi="Arial"/>
      <w:sz w:val="24"/>
      <w:szCs w:val="24"/>
    </w:rPr>
  </w:style>
  <w:style w:type="character" w:styleId="1258" w:customStyle="1">
    <w:name w:val="HTML 打字机1"/>
    <w:link w:val="1225"/>
    <w:uiPriority w:val="0"/>
    <w:qFormat/>
    <w:rPr>
      <w:rFonts w:hint="default" w:ascii="等线" w:hAnsi="等线" w:eastAsia="等线" w:cs="Times New Roman"/>
      <w:sz w:val="21"/>
      <w:szCs w:val="22"/>
      <w:lang w:val="en-US" w:eastAsia="zh-CN" w:bidi="ar-SA"/>
    </w:rPr>
  </w:style>
  <w:style w:type="paragraph" w:styleId="1259" w:customStyle="1">
    <w:name w:val="页眉1"/>
    <w:basedOn w:val="12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0" w:customStyle="1">
    <w:name w:val="标题 31"/>
    <w:basedOn w:val="1225"/>
    <w:next w:val="122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261" w:customStyle="1">
    <w:name w:val="标题 21"/>
    <w:basedOn w:val="1225"/>
    <w:next w:val="1225"/>
    <w:uiPriority w:val="9"/>
    <w:qFormat/>
    <w:pPr>
      <w:keepLines/>
      <w:keepNext/>
      <w:spacing w:before="260" w:after="260" w:line="413" w:lineRule="auto"/>
      <w:outlineLvl w:val="1"/>
    </w:pPr>
    <w:rPr>
      <w:rFonts w:ascii="Arial" w:hAnsi="Arial" w:eastAsia="黑体"/>
      <w:b/>
      <w:bCs/>
      <w:sz w:val="32"/>
      <w:szCs w:val="32"/>
    </w:rPr>
  </w:style>
  <w:style w:type="paragraph" w:styleId="1262" w:customStyle="1">
    <w:name w:val="页脚1"/>
    <w:basedOn w:val="1225"/>
    <w:next w:val="1251"/>
    <w:uiPriority w:val="99"/>
    <w:unhideWhenUsed/>
    <w:qFormat/>
    <w:pPr>
      <w:jc w:val="left"/>
      <w:tabs>
        <w:tab w:val="center" w:pos="4153" w:leader="none"/>
        <w:tab w:val="right" w:pos="8306" w:leader="none"/>
      </w:tabs>
    </w:pPr>
    <w:rPr>
      <w:sz w:val="18"/>
      <w:szCs w:val="18"/>
    </w:rPr>
  </w:style>
  <w:style w:type="paragraph" w:styleId="1263"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264">
    <w:name w:val="List Paragraph"/>
    <w:basedOn w:val="1225"/>
    <w:uiPriority w:val="0"/>
    <w:qFormat/>
    <w:pPr>
      <w:ind w:firstLine="420"/>
    </w:pPr>
    <w:rPr>
      <w:rFonts w:ascii="Times New Roman" w:hAnsi="Times New Roman" w:eastAsia="宋体"/>
      <w:szCs w:val="21"/>
    </w:rPr>
  </w:style>
  <w:style w:type="paragraph" w:styleId="1265" w:customStyle="1">
    <w:name w:val="正文无缩进"/>
    <w:basedOn w:val="1225"/>
    <w:uiPriority w:val="0"/>
    <w:qFormat/>
    <w:pPr>
      <w:keepLines/>
      <w:keepNext/>
    </w:pPr>
    <w:rPr>
      <w:rFonts w:ascii="Arial" w:hAnsi="Arial"/>
      <w:bCs/>
      <w:color w:val="000000"/>
      <w:szCs w:val="32"/>
    </w:rPr>
  </w:style>
  <w:style w:type="paragraph" w:styleId="1266" w:customStyle="1">
    <w:name w:val="三级目录"/>
    <w:next w:val="1225"/>
    <w:uiPriority w:val="99"/>
    <w:qFormat/>
    <w:pPr>
      <w:ind w:firstLine="420"/>
    </w:pPr>
    <w:rPr>
      <w:rFonts w:ascii="Times New Roman" w:hAnsi="Times New Roman" w:eastAsia="宋体" w:cs="Times New Roman"/>
      <w:b/>
      <w:bCs/>
      <w:sz w:val="24"/>
      <w:szCs w:val="24"/>
      <w:lang w:val="en-US" w:eastAsia="zh-CN" w:bidi="ar-SA"/>
    </w:rPr>
  </w:style>
  <w:style w:type="numbering" w:styleId="1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2026-06-24T08:16:00Z</dcterms:created>
  <dcterms:modified xsi:type="dcterms:W3CDTF">2026-09-09T03:59:08Z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38FB8ED3DEF9463FB87CF900EFDC1BB4_13</vt:lpwstr>
  </property>
</Properties>
</file>